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 wp14">
  <w:body>
    <w:p w:rsidRPr="00DC4872" w:rsidR="00CF4FFE" w:rsidP="00CF4FFE" w:rsidRDefault="00D31935" w14:paraId="1825406A" w14:textId="5A4B85BB">
      <w:pPr>
        <w:spacing w:line="360" w:lineRule="auto"/>
        <w:jc w:val="center"/>
        <w:rPr>
          <w:rFonts w:asciiTheme="majorEastAsia" w:hAnsiTheme="majorEastAsia" w:eastAsiaTheme="majorEastAsia"/>
          <w:b/>
          <w:bCs/>
          <w:color w:val="000000"/>
          <w:sz w:val="30"/>
          <w:szCs w:val="30"/>
        </w:rPr>
      </w:pPr>
      <w:bookmarkStart w:name="_Toc249760023" w:id="0"/>
      <w:r>
        <w:rPr>
          <w:rFonts w:hint="eastAsia" w:asciiTheme="majorEastAsia" w:hAnsiTheme="majorEastAsia" w:eastAsiaTheme="majorEastAsia"/>
          <w:b/>
          <w:bCs/>
          <w:color w:val="000000"/>
          <w:sz w:val="30"/>
          <w:szCs w:val="30"/>
        </w:rPr>
        <w:t xml:space="preserve">易方达战略新兴产业股票型证券投资基金2021年10月13日暂停申购、赎回、转换及定期定额投资业务的公告</w:t>
      </w:r>
    </w:p>
    <w:p w:rsidRPr="00FC4FF1" w:rsidR="00CF4FFE" w:rsidP="00CF4FFE" w:rsidRDefault="00CF4FFE" w14:paraId="6824EE55" w14:textId="7E2CF02D">
      <w:pPr>
        <w:spacing w:line="360" w:lineRule="auto"/>
        <w:jc w:val="center"/>
        <w:rPr>
          <w:rFonts w:asciiTheme="majorEastAsia" w:hAnsiTheme="majorEastAsia" w:eastAsiaTheme="majorEastAsia"/>
          <w:b/>
          <w:sz w:val="24"/>
        </w:rPr>
      </w:pPr>
      <w:r w:rsidRPr="00FC4FF1">
        <w:rPr>
          <w:rFonts w:hint="eastAsia" w:asciiTheme="majorEastAsia" w:hAnsiTheme="majorEastAsia" w:eastAsiaTheme="majorEastAsia"/>
          <w:b/>
          <w:sz w:val="24"/>
        </w:rPr>
        <w:t xml:space="preserve">公告送出日期：2021年10月13日</w:t>
      </w:r>
    </w:p>
    <w:bookmarkEnd w:id="0"/>
    <w:p w:rsidRPr="008C2033" w:rsidR="00CF4FFE" w:rsidP="00CF4FFE" w:rsidRDefault="00CF4FFE" w14:paraId="6BD82C2F" w14:textId="77777777">
      <w:pPr>
        <w:pStyle w:val="3"/>
        <w:keepNext w:val="false"/>
        <w:keepLines w:val="false"/>
        <w:spacing w:before="0" w:after="0" w:line="360" w:lineRule="auto"/>
        <w:rPr>
          <w:rFonts w:ascii="宋体" w:hAnsi="宋体"/>
          <w:bCs w:val="false"/>
          <w:sz w:val="24"/>
          <w:szCs w:val="24"/>
        </w:rPr>
      </w:pPr>
      <w:r w:rsidRPr="008C2033">
        <w:rPr>
          <w:rFonts w:hint="eastAsia" w:ascii="宋体" w:hAnsi="宋体"/>
          <w:bCs w:val="false"/>
          <w:sz w:val="24"/>
          <w:szCs w:val="24"/>
        </w:rPr>
        <w:t>1.公告基本信息</w:t>
      </w:r>
    </w:p>
    <w:tbl>
      <w:tblPr>
        <w:tblW w:w="0" w:type="auto"/>
        <w:tblLayout w:type="fixed"/>
        <w:tblLook w:firstRow="1" w:lastRow="0" w:firstColumn="1" w:lastColumn="0" w:noHBand="0" w:noVBand="1" w:val="04A0"/>
      </w:tblPr>
      <w:tblGrid>
        <w:gridCol w:w="2124"/>
        <w:gridCol w:w="3084"/>
        <w:gridCol w:w="3084"/>
      </w:tblGrid>
      <w:tr w:rsidRPr="00B94A65" w:rsidR="00B94A65" w:rsidTr="00783BF2" w14:paraId="40369019" w14:textId="77777777">
        <w:trPr>
          <w:trHeight w:val="310"/>
        </w:trPr>
        <w:tc>
          <w:tcPr>
            <w:tcW w:w="2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B94A65" w14:paraId="5F240A32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>基金名称</w:t>
            </w:r>
          </w:p>
        </w:tc>
        <w:tc>
          <w:tcPr>
            <w:tcW w:w="616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7E1EDD" w14:paraId="04A81B93" w14:textId="6C6F1AD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1EDD"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易方达战略新兴产业股票型证券投资基金</w:t>
            </w:r>
          </w:p>
        </w:tc>
      </w:tr>
      <w:tr w:rsidRPr="00B94A65" w:rsidR="00B94A65" w:rsidTr="00783BF2" w14:paraId="7526B5D2" w14:textId="77777777">
        <w:trPr>
          <w:trHeight w:val="310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B94A65" w14:paraId="0842E3AE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>基金简称</w:t>
            </w:r>
          </w:p>
        </w:tc>
        <w:tc>
          <w:tcPr>
            <w:tcW w:w="616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9F597D" w:rsidR="00B94A65" w:rsidP="00AD2F51" w:rsidRDefault="007E1EDD" w14:paraId="09254076" w14:textId="574DE11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1EDD"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易方达战略新兴产业股票</w:t>
            </w:r>
          </w:p>
        </w:tc>
      </w:tr>
      <w:tr w:rsidRPr="00B94A65" w:rsidR="00B94A65" w:rsidTr="00783BF2" w14:paraId="16D25BC8" w14:textId="77777777">
        <w:trPr>
          <w:trHeight w:val="320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B94A65" w14:paraId="691A3A04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>基金主代码</w:t>
            </w:r>
          </w:p>
        </w:tc>
        <w:tc>
          <w:tcPr>
            <w:tcW w:w="616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7E1EDD" w:rsidR="00B94A65" w:rsidP="00AD2F51" w:rsidRDefault="007E1EDD" w14:paraId="2E3087B1" w14:textId="57B5451D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1EDD"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010391</w:t>
            </w:r>
          </w:p>
        </w:tc>
      </w:tr>
      <w:tr w:rsidRPr="00B94A65" w:rsidR="00B94A65" w:rsidTr="00783BF2" w14:paraId="068D39BD" w14:textId="77777777">
        <w:trPr>
          <w:trHeight w:val="310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B94A65" w14:paraId="1F17D044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>基金管理人名称</w:t>
            </w:r>
          </w:p>
        </w:tc>
        <w:tc>
          <w:tcPr>
            <w:tcW w:w="616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B94A65" w14:paraId="6F9D748D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>易方达基金管理有限公司</w:t>
            </w:r>
          </w:p>
        </w:tc>
      </w:tr>
      <w:tr w:rsidRPr="00B94A65" w:rsidR="00B94A65" w:rsidTr="00783BF2" w14:paraId="15C94924" w14:textId="77777777">
        <w:trPr>
          <w:trHeight w:val="310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B94A65" w14:paraId="72ECCC84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>公告依据</w:t>
            </w:r>
          </w:p>
        </w:tc>
        <w:tc>
          <w:tcPr>
            <w:tcW w:w="616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0E21A5" w14:paraId="016EE163" w14:textId="736F859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1EDD"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《公开募集证券投资基金信息披露管理办法》、《易方达战略新兴产业股票型证券投资基金基金合同》、《易方达战略新兴产业股票型证券投资基金招募说明书》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暂停相关业务的起始日及原因说明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暂停申购起始日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2021年10月13日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暂停相关业务的起始日及原因说明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暂停转换转入起始日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2021年10月13日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暂停相关业务的起始日及原因说明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暂停赎回起始日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2021年10月13日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暂停相关业务的起始日及原因说明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暂停转换转出起始日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2021年10月13日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暂停相关业务的起始日及原因说明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暂停定期定额投资起始日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2021年10月13日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暂停相关业务的起始日及原因说明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暂停申购、转换转入、赎回、转换转出、定期定额投资的原因说明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由于极端天气原因，2021年10月13日香港证券交易所休市，港股通不提供服务。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恢复相关业务的日期及原因说明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恢复申购日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2021年10月15日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恢复相关业务的日期及原因说明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恢复转换转入日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2021年10月15日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恢复相关业务的日期及原因说明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恢复赎回日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2021年10月15日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恢复相关业务的日期及原因说明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恢复转换转出日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2021年10月15日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恢复相关业务的日期及原因说明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恢复定期定额投资日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2021年10月15日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恢复相关业务的日期及原因说明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恢复申购、转换转入、赎回、转换转出、定期定额投资的原因说明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2021年10月15日为港股通交易日。</w:t>
            </w:r>
          </w:p>
        </w:tc>
      </w:tr>
      <w:tr w:rsidRPr="00B94A65" w:rsidR="00B94A65" w:rsidTr="00783BF2" w14:paraId="4F3BB062" w14:textId="77777777">
        <w:trPr>
          <w:trHeight w:val="620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B94A65" w14:paraId="526590EA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>下属分级基金的基金简称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663E5B" w14:paraId="1D7549D6" w14:textId="2FB3181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3E5B"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易方达战略新兴产业股票A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663E5B" w14:paraId="379E4EA4" w14:textId="7AC035A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3E5B"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易方达战略新兴产业股票C</w:t>
            </w:r>
          </w:p>
        </w:tc>
      </w:tr>
      <w:tr w:rsidRPr="00B94A65" w:rsidR="00B94A65" w:rsidTr="00783BF2" w14:paraId="73093653" w14:textId="77777777">
        <w:trPr>
          <w:trHeight w:val="320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B94A65" w14:paraId="3FEA9264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>下属分级基金的交易代码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5419A" w:rsidR="00B94A65" w:rsidP="00AD2F51" w:rsidRDefault="00663E5B" w14:paraId="24FEEAA9" w14:textId="4862F60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67BE"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010391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8367BE" w:rsidR="00B94A65" w:rsidP="00AD2F51" w:rsidRDefault="008D649F" w14:paraId="627D112F" w14:textId="39B9132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67BE"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010392</w:t>
            </w:r>
          </w:p>
        </w:tc>
      </w:tr>
      <w:tr w:rsidRPr="00B94A65" w:rsidR="00B94A65" w:rsidTr="00783BF2" w14:paraId="6889F211" w14:textId="77777777">
        <w:trPr>
          <w:trHeight w:val="610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381E6C" w:rsidRDefault="00B94A65" w14:paraId="437610D4" w14:textId="473234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该分级基金是否暂停申购、转换转入、赎回、转换转出、定期定额投资</w:t>
            </w:r>
            <w:bookmarkStart w:name="_GoBack" w:id="2"/>
            <w:bookmarkEnd w:id="2"/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B94A65" w14:paraId="23706677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>是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B94A65" w14:paraId="2A17A7B7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>是</w:t>
            </w:r>
          </w:p>
        </w:tc>
      </w:tr>
    </w:tbl>
    <w:p w:rsidR="00EC4900" w:rsidP="001E1FED" w:rsidRDefault="008259F4" w14:paraId="0F18672C" w14:textId="17365086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 w:rsidRPr="004932BD">
        <w:rPr>
          <w:rFonts w:hint="eastAsia" w:asciiTheme="minorEastAsia" w:hAnsiTheme="minorEastAsia" w:eastAsiaTheme="minorEastAsia"/>
          <w:color w:val="000000"/>
          <w:sz w:val="24"/>
        </w:rPr>
        <w:t xml:space="preserve"/>
      </w:r>
    </w:p>
    <w:p w:rsidRPr="008259F4" w:rsidR="00132D7F" w:rsidP="001E1FED" w:rsidRDefault="00132D7F" w14:paraId="5B2C39A1" w14:textId="77777777">
      <w:pPr>
        <w:spacing w:line="360" w:lineRule="auto"/>
        <w:ind w:firstLine="480" w:firstLineChars="200"/>
        <w:rPr>
          <w:sz w:val="24"/>
        </w:rPr>
      </w:pPr>
    </w:p>
    <w:p w:rsidRPr="008C2033" w:rsidR="00CF4FFE" w:rsidP="00CF4FFE" w:rsidRDefault="00CF4FFE" w14:paraId="363AB32A" w14:textId="77777777">
      <w:pPr>
        <w:pStyle w:val="3"/>
        <w:keepNext w:val="false"/>
        <w:keepLines w:val="false"/>
        <w:spacing w:before="0" w:after="0"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CF4FFE" w:rsidP="00CF4FFE" w:rsidRDefault="004932BD" w14:paraId="578BB31F" w14:textId="2DED6C58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 w:rsidRPr="004932BD">
        <w:rPr>
          <w:rFonts w:hint="eastAsia" w:asciiTheme="minorEastAsia" w:hAnsiTheme="minorEastAsia" w:eastAsiaTheme="minorEastAsia"/>
          <w:color w:val="000000"/>
          <w:sz w:val="24"/>
        </w:rPr>
        <w:t xml:space="preserve">(1) 投资者于2021年10月13日提交的本基金申购、赎回、转换及定期定额投资业务申请，本基金管理人将不予确认，即2021年10月13日本基金的申购、赎回、转换及定期定额投资申请全部失败，申购和定期定额投资款项将退回投资者账户，由此给投资者带来的不便，敬请谅解。</w:t>
      </w:r>
    </w:p>
    <w:p w:rsidR="00CF4FFE" w:rsidP="00CF4FFE" w:rsidRDefault="004932BD" w14:paraId="578BB31F" w14:textId="2DED6C58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 w:rsidRPr="004932BD">
        <w:rPr>
          <w:rFonts w:hint="eastAsia" w:asciiTheme="minorEastAsia" w:hAnsiTheme="minorEastAsia" w:eastAsiaTheme="minorEastAsia"/>
          <w:color w:val="000000"/>
          <w:sz w:val="24"/>
        </w:rPr>
        <w:t xml:space="preserve">(2) 若港股通交易日安排发生变化，本基金管理人将进行相应调整并公告。</w:t>
      </w:r>
    </w:p>
    <w:p w:rsidR="00CF4FFE" w:rsidP="00CF4FFE" w:rsidRDefault="004932BD" w14:paraId="578BB31F" w14:textId="2DED6C58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 w:rsidRPr="004932BD">
        <w:rPr>
          <w:rFonts w:hint="eastAsia" w:asciiTheme="minorEastAsia" w:hAnsiTheme="minorEastAsia" w:eastAsiaTheme="minorEastAsia"/>
          <w:color w:val="000000"/>
          <w:sz w:val="24"/>
        </w:rPr>
        <w:t xml:space="preserve">(3) 根据本基金2021年10月11日发布的相关公告，本基金2021年10月14日暂停申购、赎回、转换及定期定额投资业务。</w:t>
      </w:r>
    </w:p>
    <w:p w:rsidR="00CF4FFE" w:rsidP="00CF4FFE" w:rsidRDefault="004932BD" w14:paraId="578BB31F" w14:textId="2DED6C58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 w:rsidRPr="004932BD">
        <w:rPr>
          <w:rFonts w:hint="eastAsia" w:asciiTheme="minorEastAsia" w:hAnsiTheme="minorEastAsia" w:eastAsiaTheme="minorEastAsia"/>
          <w:color w:val="000000"/>
          <w:sz w:val="24"/>
        </w:rPr>
        <w:t xml:space="preserve">(4) 投资者可通过本基金各销售机构及以下途径咨询有关详情：</w:t>
      </w:r>
    </w:p>
    <w:p w:rsidR="00CF4FFE" w:rsidP="00CF4FFE" w:rsidRDefault="004932BD" w14:paraId="578BB31F" w14:textId="2DED6C58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 w:rsidRPr="004932BD">
        <w:rPr>
          <w:rFonts w:hint="eastAsia" w:asciiTheme="minorEastAsia" w:hAnsiTheme="minorEastAsia" w:eastAsiaTheme="minorEastAsia"/>
          <w:color w:val="000000"/>
          <w:sz w:val="24"/>
        </w:rPr>
        <w:t xml:space="preserve">1) 易方达基金管理有限公司网站：www.efunds.com.cn；</w:t>
      </w:r>
    </w:p>
    <w:p w:rsidR="00CF4FFE" w:rsidP="00CF4FFE" w:rsidRDefault="004932BD" w14:paraId="578BB31F" w14:textId="2DED6C58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 w:rsidRPr="004932BD">
        <w:rPr>
          <w:rFonts w:hint="eastAsia" w:asciiTheme="minorEastAsia" w:hAnsiTheme="minorEastAsia" w:eastAsiaTheme="minorEastAsia"/>
          <w:color w:val="000000"/>
          <w:sz w:val="24"/>
        </w:rPr>
        <w:t xml:space="preserve">　 2) 易方达基金管理有限公司客户服务热线：400 881 8088；</w:t>
      </w:r>
    </w:p>
    <w:p w:rsidR="00CF4FFE" w:rsidP="00CF4FFE" w:rsidRDefault="004932BD" w14:paraId="578BB31F" w14:textId="2DED6C58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 w:rsidRPr="004932BD">
        <w:rPr>
          <w:rFonts w:hint="eastAsia" w:asciiTheme="minorEastAsia" w:hAnsiTheme="minorEastAsia" w:eastAsiaTheme="minorEastAsia"/>
          <w:color w:val="000000"/>
          <w:sz w:val="24"/>
        </w:rPr>
        <w:t xml:space="preserve">特此公告。</w:t>
      </w:r>
    </w:p>
    <w:p w:rsidRPr="00FC4FF1" w:rsidR="00D3112F" w:rsidP="00CF4FFE" w:rsidRDefault="00D3112F" w14:paraId="25639636" w14:textId="77777777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</w:p>
    <w:p w:rsidRPr="00FC4FF1" w:rsidR="00CF4FFE" w:rsidP="00CF4FFE" w:rsidRDefault="00CF4FFE" w14:paraId="7886694F" w14:textId="77777777">
      <w:pPr>
        <w:spacing w:line="360" w:lineRule="auto"/>
        <w:ind w:firstLine="480" w:firstLineChars="200"/>
        <w:jc w:val="right"/>
        <w:rPr>
          <w:rFonts w:asciiTheme="minorEastAsia" w:hAnsiTheme="minorEastAsia" w:eastAsiaTheme="minorEastAsia"/>
          <w:color w:val="000000"/>
          <w:sz w:val="24"/>
        </w:rPr>
      </w:pPr>
      <w:r w:rsidRPr="00FC4FF1">
        <w:rPr>
          <w:rFonts w:hint="eastAsia" w:asciiTheme="minorEastAsia" w:hAnsiTheme="minorEastAsia" w:eastAsiaTheme="minorEastAsia"/>
          <w:color w:val="000000"/>
          <w:sz w:val="24"/>
        </w:rPr>
        <w:t>易方达基金管理有限公司</w:t>
      </w:r>
    </w:p>
    <w:p w:rsidRPr="004932BD" w:rsidR="00E255CB" w:rsidP="00D37617" w:rsidRDefault="007D414E" w14:paraId="5782F7C8" w14:textId="7C2637B4">
      <w:pPr>
        <w:spacing w:line="360" w:lineRule="auto"/>
        <w:ind w:firstLine="480" w:firstLineChars="200"/>
        <w:jc w:val="right"/>
        <w:rPr>
          <w:rFonts w:asciiTheme="minorEastAsia" w:hAnsiTheme="minorEastAsia" w:eastAsiaTheme="minorEastAsia"/>
          <w:color w:val="000000"/>
          <w:sz w:val="24"/>
        </w:rPr>
      </w:pPr>
      <w:r w:rsidRPr="004932BD">
        <w:rPr>
          <w:rFonts w:hint="eastAsia" w:asciiTheme="minorEastAsia" w:hAnsiTheme="minorEastAsia" w:eastAsiaTheme="minorEastAsia"/>
          <w:color w:val="000000"/>
          <w:sz w:val="24"/>
        </w:rPr>
        <w:t xml:space="preserve">2021年10月13日</w:t>
      </w:r>
    </w:p>
    <w:sectPr w:rsidRPr="004932BD" w:rsidR="00E255CB" w:rsidSect="00B120A5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/>
</file>

<file path=word/commentsExtended.xml><?xml version="1.0" encoding="utf-8"?>
<w15:commentsEx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15:commentEx w15:paraId="2B1FC1F9" w15:done="0"/>
</w15:commentsEx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endnote w:type="separator" w:id="-1">
    <w:p w:rsidR="00F7076A" w:rsidP="00CF4FFE" w:rsidRDefault="00F7076A" w14:paraId="6418256F" w14:textId="77777777">
      <w:r>
        <w:separator/>
      </w:r>
    </w:p>
  </w:endnote>
  <w:endnote w:type="continuationSeparator" w:id="0">
    <w:p w:rsidR="00F7076A" w:rsidP="00CF4FFE" w:rsidRDefault="00F7076A" w14:paraId="5FC6D8C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 wp14">
  <w:p w:rsidR="00B120A5" w:rsidP="00B120A5" w:rsidRDefault="00282163" w14:paraId="1C7CA917" w14:textId="77777777">
    <w:pPr>
      <w:pStyle w:val="a4"/>
      <w:jc w:val="center"/>
    </w:pPr>
    <w:r>
      <w:rPr>
        <w:rStyle w:val="a5"/>
      </w:rPr>
      <w:fldChar w:fldCharType="begin"/>
    </w:r>
    <w:r w:rsidR="00B120A5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E1EDD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footnote w:type="separator" w:id="-1">
    <w:p w:rsidR="00F7076A" w:rsidP="00CF4FFE" w:rsidRDefault="00F7076A" w14:paraId="11EED955" w14:textId="77777777">
      <w:r>
        <w:separator/>
      </w:r>
    </w:p>
  </w:footnote>
  <w:footnote w:type="continuationSeparator" w:id="0">
    <w:p w:rsidR="00F7076A" w:rsidP="00CF4FFE" w:rsidRDefault="00F7076A" w14:paraId="0A53F5A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 wp14">
  <w:p w:rsidRPr="004649DF" w:rsidR="00B120A5" w:rsidP="00B120A5" w:rsidRDefault="00B120A5" w14:paraId="0F4E9E85" w14:textId="77777777">
    <w:pPr>
      <w:pStyle w:val="a3"/>
      <w:rPr>
        <w:rStyle w:val="a5"/>
      </w:rPr>
    </w:pPr>
    <w:r>
      <w:rPr>
        <w:rStyle w:val="a5"/>
        <w:rFonts w:hint="eastAsia"/>
      </w:rPr>
      <w:t xml:space="preserve">                                             </w:t>
    </w:r>
  </w:p>
  <w:p w:rsidRPr="004649DF" w:rsidR="00B120A5" w:rsidP="00B120A5" w:rsidRDefault="00B120A5" w14:paraId="5623FFA9" w14:textId="77777777">
    <w:pPr>
      <w:pStyle w:val="a3"/>
    </w:pPr>
    <w:r>
      <w:rPr>
        <w:rFonts w:hint="eastAsia"/>
      </w:rPr>
      <w:t xml:space="preserve">                                             </w:t>
    </w:r>
  </w:p>
</w:hdr>
</file>

<file path=word/people.xml><?xml version="1.0" encoding="utf-8"?>
<w15:peopl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15:person w15:author="叶子逸">
    <w15:presenceInfo w15:providerId="AD" w15:userId="S-1-5-21-4192046361-1944119394-1811551143-3099"/>
  </w15:person>
</w15:people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0C"/>
    <w:rsid w:val="000040EC"/>
    <w:rsid w:val="000058CF"/>
    <w:rsid w:val="00016C7C"/>
    <w:rsid w:val="00022A0F"/>
    <w:rsid w:val="00053A2D"/>
    <w:rsid w:val="000603AA"/>
    <w:rsid w:val="00084037"/>
    <w:rsid w:val="00090A6D"/>
    <w:rsid w:val="000A08E2"/>
    <w:rsid w:val="000A4EA8"/>
    <w:rsid w:val="000B505A"/>
    <w:rsid w:val="000B6CA1"/>
    <w:rsid w:val="000D75B3"/>
    <w:rsid w:val="000E21A5"/>
    <w:rsid w:val="000E5C48"/>
    <w:rsid w:val="000E6DEE"/>
    <w:rsid w:val="000F55E8"/>
    <w:rsid w:val="001052A2"/>
    <w:rsid w:val="00116555"/>
    <w:rsid w:val="00127FE4"/>
    <w:rsid w:val="00132D7F"/>
    <w:rsid w:val="001345C4"/>
    <w:rsid w:val="00134ECE"/>
    <w:rsid w:val="001403F5"/>
    <w:rsid w:val="00165A9A"/>
    <w:rsid w:val="00171A39"/>
    <w:rsid w:val="00176983"/>
    <w:rsid w:val="00187BCF"/>
    <w:rsid w:val="00196B43"/>
    <w:rsid w:val="001D0C32"/>
    <w:rsid w:val="001D450D"/>
    <w:rsid w:val="001E1FED"/>
    <w:rsid w:val="001E5FFF"/>
    <w:rsid w:val="001F3EA6"/>
    <w:rsid w:val="002047B8"/>
    <w:rsid w:val="0021374C"/>
    <w:rsid w:val="00215D16"/>
    <w:rsid w:val="0023799D"/>
    <w:rsid w:val="0024190B"/>
    <w:rsid w:val="002510E8"/>
    <w:rsid w:val="00271D28"/>
    <w:rsid w:val="00276D6E"/>
    <w:rsid w:val="00282163"/>
    <w:rsid w:val="0028505D"/>
    <w:rsid w:val="0029083D"/>
    <w:rsid w:val="00292495"/>
    <w:rsid w:val="002B5634"/>
    <w:rsid w:val="002C7CA4"/>
    <w:rsid w:val="002D1C89"/>
    <w:rsid w:val="002E422A"/>
    <w:rsid w:val="002E5FD3"/>
    <w:rsid w:val="002F1B3D"/>
    <w:rsid w:val="00327620"/>
    <w:rsid w:val="00346B75"/>
    <w:rsid w:val="00381E6C"/>
    <w:rsid w:val="00385C65"/>
    <w:rsid w:val="00386321"/>
    <w:rsid w:val="003A69C1"/>
    <w:rsid w:val="003B3E2F"/>
    <w:rsid w:val="003B533D"/>
    <w:rsid w:val="003C0759"/>
    <w:rsid w:val="003C3FD7"/>
    <w:rsid w:val="003F12CF"/>
    <w:rsid w:val="003F1376"/>
    <w:rsid w:val="003F2DE8"/>
    <w:rsid w:val="003F4DF6"/>
    <w:rsid w:val="0041080C"/>
    <w:rsid w:val="00413A38"/>
    <w:rsid w:val="00413BA8"/>
    <w:rsid w:val="004167E4"/>
    <w:rsid w:val="00417904"/>
    <w:rsid w:val="004260EA"/>
    <w:rsid w:val="00452E7F"/>
    <w:rsid w:val="00482D94"/>
    <w:rsid w:val="0049091A"/>
    <w:rsid w:val="004932BD"/>
    <w:rsid w:val="00495E00"/>
    <w:rsid w:val="004B11C7"/>
    <w:rsid w:val="004D0C85"/>
    <w:rsid w:val="004E1CFC"/>
    <w:rsid w:val="004E61FB"/>
    <w:rsid w:val="004F3838"/>
    <w:rsid w:val="00504A01"/>
    <w:rsid w:val="00517C1D"/>
    <w:rsid w:val="0053152C"/>
    <w:rsid w:val="00531592"/>
    <w:rsid w:val="00534171"/>
    <w:rsid w:val="005364D2"/>
    <w:rsid w:val="005447D0"/>
    <w:rsid w:val="005536BB"/>
    <w:rsid w:val="00555F13"/>
    <w:rsid w:val="00575AC3"/>
    <w:rsid w:val="005D5763"/>
    <w:rsid w:val="005E40BD"/>
    <w:rsid w:val="005F752C"/>
    <w:rsid w:val="00601E83"/>
    <w:rsid w:val="0063349B"/>
    <w:rsid w:val="00636133"/>
    <w:rsid w:val="00645DE2"/>
    <w:rsid w:val="00656FB6"/>
    <w:rsid w:val="00663E5B"/>
    <w:rsid w:val="00666055"/>
    <w:rsid w:val="006768BB"/>
    <w:rsid w:val="006834DA"/>
    <w:rsid w:val="006B54D0"/>
    <w:rsid w:val="006B5E1D"/>
    <w:rsid w:val="006C376C"/>
    <w:rsid w:val="006E57D3"/>
    <w:rsid w:val="007072E2"/>
    <w:rsid w:val="00710028"/>
    <w:rsid w:val="00711D6B"/>
    <w:rsid w:val="00715649"/>
    <w:rsid w:val="00726142"/>
    <w:rsid w:val="00744165"/>
    <w:rsid w:val="0076152C"/>
    <w:rsid w:val="007773D8"/>
    <w:rsid w:val="00782BA1"/>
    <w:rsid w:val="00783BF2"/>
    <w:rsid w:val="007935D8"/>
    <w:rsid w:val="007B5458"/>
    <w:rsid w:val="007C62FF"/>
    <w:rsid w:val="007D19C3"/>
    <w:rsid w:val="007D2E3B"/>
    <w:rsid w:val="007D414E"/>
    <w:rsid w:val="007E1EDD"/>
    <w:rsid w:val="007E7A4D"/>
    <w:rsid w:val="008259F4"/>
    <w:rsid w:val="008367BE"/>
    <w:rsid w:val="00845B17"/>
    <w:rsid w:val="00891BCA"/>
    <w:rsid w:val="00893A09"/>
    <w:rsid w:val="008B31A1"/>
    <w:rsid w:val="008C228D"/>
    <w:rsid w:val="008D649F"/>
    <w:rsid w:val="008E0142"/>
    <w:rsid w:val="008F5DBC"/>
    <w:rsid w:val="00906C0D"/>
    <w:rsid w:val="009107AD"/>
    <w:rsid w:val="00914A85"/>
    <w:rsid w:val="0091559C"/>
    <w:rsid w:val="009366E4"/>
    <w:rsid w:val="00956986"/>
    <w:rsid w:val="00956F22"/>
    <w:rsid w:val="0097220C"/>
    <w:rsid w:val="00980B50"/>
    <w:rsid w:val="00983790"/>
    <w:rsid w:val="0098717C"/>
    <w:rsid w:val="009D6573"/>
    <w:rsid w:val="009E2E4E"/>
    <w:rsid w:val="009E7637"/>
    <w:rsid w:val="009F36BD"/>
    <w:rsid w:val="009F597D"/>
    <w:rsid w:val="00A047D8"/>
    <w:rsid w:val="00A0504E"/>
    <w:rsid w:val="00A20DB2"/>
    <w:rsid w:val="00A3326C"/>
    <w:rsid w:val="00A36518"/>
    <w:rsid w:val="00A4742E"/>
    <w:rsid w:val="00A63968"/>
    <w:rsid w:val="00A77BEA"/>
    <w:rsid w:val="00A96349"/>
    <w:rsid w:val="00AA083B"/>
    <w:rsid w:val="00AB2CC9"/>
    <w:rsid w:val="00AC299C"/>
    <w:rsid w:val="00AC59C2"/>
    <w:rsid w:val="00AC5FC9"/>
    <w:rsid w:val="00AD24D3"/>
    <w:rsid w:val="00AD2F51"/>
    <w:rsid w:val="00AD5C5E"/>
    <w:rsid w:val="00AF1784"/>
    <w:rsid w:val="00B0053C"/>
    <w:rsid w:val="00B04BDA"/>
    <w:rsid w:val="00B120A5"/>
    <w:rsid w:val="00B24C24"/>
    <w:rsid w:val="00B463D8"/>
    <w:rsid w:val="00B53662"/>
    <w:rsid w:val="00B543A4"/>
    <w:rsid w:val="00B54764"/>
    <w:rsid w:val="00B61940"/>
    <w:rsid w:val="00B62F01"/>
    <w:rsid w:val="00B81249"/>
    <w:rsid w:val="00B94A65"/>
    <w:rsid w:val="00BA0A9C"/>
    <w:rsid w:val="00BC691A"/>
    <w:rsid w:val="00BC7747"/>
    <w:rsid w:val="00BE4B67"/>
    <w:rsid w:val="00BF1DCE"/>
    <w:rsid w:val="00BF4447"/>
    <w:rsid w:val="00BF4B3A"/>
    <w:rsid w:val="00C0698B"/>
    <w:rsid w:val="00C23E63"/>
    <w:rsid w:val="00C43F62"/>
    <w:rsid w:val="00C52FF0"/>
    <w:rsid w:val="00C600BF"/>
    <w:rsid w:val="00C826E0"/>
    <w:rsid w:val="00C93191"/>
    <w:rsid w:val="00CA2E18"/>
    <w:rsid w:val="00CA7B1B"/>
    <w:rsid w:val="00CD4719"/>
    <w:rsid w:val="00CE4E69"/>
    <w:rsid w:val="00CE5E63"/>
    <w:rsid w:val="00CF03C6"/>
    <w:rsid w:val="00CF4FFE"/>
    <w:rsid w:val="00D0154C"/>
    <w:rsid w:val="00D17ADA"/>
    <w:rsid w:val="00D20661"/>
    <w:rsid w:val="00D30829"/>
    <w:rsid w:val="00D3112F"/>
    <w:rsid w:val="00D31935"/>
    <w:rsid w:val="00D37617"/>
    <w:rsid w:val="00D3796F"/>
    <w:rsid w:val="00D4227B"/>
    <w:rsid w:val="00D4622B"/>
    <w:rsid w:val="00D827E2"/>
    <w:rsid w:val="00D83D7B"/>
    <w:rsid w:val="00DB1DD0"/>
    <w:rsid w:val="00DC4872"/>
    <w:rsid w:val="00E200FD"/>
    <w:rsid w:val="00E22F18"/>
    <w:rsid w:val="00E255CB"/>
    <w:rsid w:val="00E31C70"/>
    <w:rsid w:val="00E3465E"/>
    <w:rsid w:val="00E52837"/>
    <w:rsid w:val="00E5581A"/>
    <w:rsid w:val="00E65A9C"/>
    <w:rsid w:val="00EB0D87"/>
    <w:rsid w:val="00EB32F2"/>
    <w:rsid w:val="00EC4900"/>
    <w:rsid w:val="00EE4900"/>
    <w:rsid w:val="00F14E36"/>
    <w:rsid w:val="00F21ACC"/>
    <w:rsid w:val="00F412E7"/>
    <w:rsid w:val="00F44F36"/>
    <w:rsid w:val="00F5419A"/>
    <w:rsid w:val="00F54207"/>
    <w:rsid w:val="00F70383"/>
    <w:rsid w:val="00F7076A"/>
    <w:rsid w:val="00F73FF7"/>
    <w:rsid w:val="00F8382B"/>
    <w:rsid w:val="00F97F99"/>
    <w:rsid w:val="00FC4FF1"/>
    <w:rsid w:val="00FD12FC"/>
    <w:rsid w:val="00FD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."/>
  <w:listSeparator w:val=","/>
  <w14:docId w14:val="7E8D9E5D"/>
  <w15:docId w15:val="{C45B9C8B-7F5D-48FD-B5FF-49F8A4D7B000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0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CF4FFE"/>
    <w:pPr>
      <w:widowControl w:val="false"/>
      <w:jc w:val="both"/>
    </w:pPr>
    <w:rPr>
      <w:rFonts w:ascii="Times New Roman" w:hAnsi="Times New Roman" w:eastAsia="宋体" w:cs="Times New Roman"/>
      <w:szCs w:val="24"/>
    </w:rPr>
  </w:style>
  <w:style w:type="paragraph" w:styleId="3">
    <w:name w:val="heading 3"/>
    <w:basedOn w:val="a"/>
    <w:next w:val="a"/>
    <w:link w:val="3Char"/>
    <w:qFormat/>
    <w:rsid w:val="00CF4F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663E5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F4FFE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Char" w:customStyle="true">
    <w:name w:val="页眉 Char"/>
    <w:basedOn w:val="a0"/>
    <w:link w:val="a3"/>
    <w:uiPriority w:val="99"/>
    <w:rsid w:val="00CF4FFE"/>
    <w:rPr>
      <w:sz w:val="18"/>
      <w:szCs w:val="18"/>
    </w:rPr>
  </w:style>
  <w:style w:type="paragraph" w:styleId="a4">
    <w:name w:val="footer"/>
    <w:basedOn w:val="a"/>
    <w:link w:val="Char0"/>
    <w:unhideWhenUsed/>
    <w:rsid w:val="00CF4FFE"/>
    <w:pPr>
      <w:tabs>
        <w:tab w:val="center" w:pos="4153"/>
        <w:tab w:val="right" w:pos="8306"/>
      </w:tabs>
      <w:snapToGrid w:val="false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Char0" w:customStyle="true">
    <w:name w:val="页脚 Char"/>
    <w:basedOn w:val="a0"/>
    <w:link w:val="a4"/>
    <w:uiPriority w:val="99"/>
    <w:rsid w:val="00CF4FFE"/>
    <w:rPr>
      <w:sz w:val="18"/>
      <w:szCs w:val="18"/>
    </w:rPr>
  </w:style>
  <w:style w:type="character" w:styleId="3Char" w:customStyle="true">
    <w:name w:val="标题 3 Char"/>
    <w:basedOn w:val="a0"/>
    <w:link w:val="3"/>
    <w:rsid w:val="00CF4FFE"/>
    <w:rPr>
      <w:rFonts w:ascii="Times New Roman" w:hAnsi="Times New Roman" w:eastAsia="宋体" w:cs="Times New Roman"/>
      <w:b/>
      <w:bCs/>
      <w:sz w:val="32"/>
      <w:szCs w:val="32"/>
    </w:rPr>
  </w:style>
  <w:style w:type="character" w:styleId="a5">
    <w:name w:val="page number"/>
    <w:basedOn w:val="a0"/>
    <w:rsid w:val="00CF4FFE"/>
  </w:style>
  <w:style w:type="paragraph" w:styleId="a6">
    <w:name w:val="Balloon Text"/>
    <w:basedOn w:val="a"/>
    <w:link w:val="Char1"/>
    <w:uiPriority w:val="99"/>
    <w:semiHidden/>
    <w:unhideWhenUsed/>
    <w:rsid w:val="00EC4900"/>
    <w:rPr>
      <w:sz w:val="18"/>
      <w:szCs w:val="18"/>
    </w:rPr>
  </w:style>
  <w:style w:type="character" w:styleId="Char1" w:customStyle="true">
    <w:name w:val="批注框文本 Char"/>
    <w:basedOn w:val="a0"/>
    <w:link w:val="a6"/>
    <w:uiPriority w:val="99"/>
    <w:semiHidden/>
    <w:rsid w:val="00EC4900"/>
    <w:rPr>
      <w:rFonts w:ascii="Times New Roman" w:hAnsi="Times New Roman" w:eastAsia="宋体" w:cs="Times New Roman"/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2C7CA4"/>
    <w:rPr>
      <w:rFonts w:ascii="宋体"/>
      <w:sz w:val="18"/>
      <w:szCs w:val="18"/>
    </w:rPr>
  </w:style>
  <w:style w:type="character" w:styleId="Char2" w:customStyle="true">
    <w:name w:val="文档结构图 Char"/>
    <w:basedOn w:val="a0"/>
    <w:link w:val="a7"/>
    <w:uiPriority w:val="99"/>
    <w:semiHidden/>
    <w:rsid w:val="002C7CA4"/>
    <w:rPr>
      <w:rFonts w:ascii="宋体" w:hAnsi="Times New Roman" w:eastAsia="宋体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167E4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4167E4"/>
    <w:pPr>
      <w:jc w:val="left"/>
    </w:pPr>
  </w:style>
  <w:style w:type="character" w:styleId="Char3" w:customStyle="true">
    <w:name w:val="批注文字 Char"/>
    <w:basedOn w:val="a0"/>
    <w:link w:val="a9"/>
    <w:uiPriority w:val="99"/>
    <w:semiHidden/>
    <w:rsid w:val="004167E4"/>
    <w:rPr>
      <w:rFonts w:ascii="Times New Roman" w:hAnsi="Times New Roman" w:eastAsia="宋体" w:cs="Times New Roman"/>
      <w:szCs w:val="24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4167E4"/>
    <w:rPr>
      <w:b/>
      <w:bCs/>
    </w:rPr>
  </w:style>
  <w:style w:type="character" w:styleId="Char4" w:customStyle="true">
    <w:name w:val="批注主题 Char"/>
    <w:basedOn w:val="Char3"/>
    <w:link w:val="aa"/>
    <w:uiPriority w:val="99"/>
    <w:semiHidden/>
    <w:rsid w:val="004167E4"/>
    <w:rPr>
      <w:rFonts w:ascii="Times New Roman" w:hAnsi="Times New Roman" w:eastAsia="宋体" w:cs="Times New Roman"/>
      <w:b/>
      <w:bCs/>
      <w:szCs w:val="24"/>
    </w:rPr>
  </w:style>
  <w:style w:type="character" w:styleId="5Char" w:customStyle="true">
    <w:name w:val="标题 5 Char"/>
    <w:basedOn w:val="a0"/>
    <w:link w:val="5"/>
    <w:uiPriority w:val="9"/>
    <w:rsid w:val="00663E5B"/>
    <w:rPr>
      <w:rFonts w:ascii="Times New Roman" w:hAnsi="Times New Roman" w:eastAsia="宋体" w:cs="Times New Roman"/>
      <w:b/>
      <w:bCs/>
      <w:sz w:val="28"/>
      <w:szCs w:val="2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ivs>
    <w:div w:id="2794572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513152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44847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23359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107511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720887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40501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45512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webSettings.xml" Type="http://schemas.openxmlformats.org/officeDocument/2006/relationships/webSettings" Id="rId3"/>
    <Relationship Target="commentsExtended.xml" Type="http://schemas.microsoft.com/office/2011/relationships/commentsExtended" Id="rId7"/>
    <Relationship Target="theme/theme1.xml" Type="http://schemas.openxmlformats.org/officeDocument/2006/relationships/theme" Id="rId12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comments.xml" Type="http://schemas.openxmlformats.org/officeDocument/2006/relationships/comments" Id="rId6"/>
    <Relationship Target="people.xml" Type="http://schemas.microsoft.com/office/2011/relationships/people" Id="rId11"/>
    <Relationship Target="endnotes.xml" Type="http://schemas.openxmlformats.org/officeDocument/2006/relationships/endnotes" Id="rId5"/>
    <Relationship Target="fontTable.xml" Type="http://schemas.openxmlformats.org/officeDocument/2006/relationships/fontTable" Id="rId10"/>
    <Relationship Target="footnotes.xml" Type="http://schemas.openxmlformats.org/officeDocument/2006/relationships/footnote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ns1="http://schemas.openxmlformats.org/wordprocessingml/2006/main" xmlns:ns11="http://schemas.microsoft.com/office/word/2006/wordml" xmlns:ns12="http://schemas.openxmlformats.org/drawingml/2006/chart" xmlns:ns14="http://schemas.openxmlformats.org/drawingml/2006/diagram" xmlns:ns15="http://schemas.openxmlformats.org/drawingml/2006/picture" xmlns:ns16="http://schemas.openxmlformats.org/drawingml/2006/spreadsheetDrawing" xmlns:ns17="http://schemas.microsoft.com/office/drawing/2008/diagram" xmlns:ns19="urn:schemas-microsoft-com:office:office" xmlns:ns2="http://schemas.openxmlformats.org/officeDocument/2006/math" xmlns:ns20="urn:schemas-microsoft-com:vml" xmlns:ns21="urn:schemas-microsoft-com:office:word" xmlns:ns25="http://opendope.org/xpaths" xmlns:ns26="http://opendope.org/conditions" xmlns:ns27="http://opendope.org/questions" xmlns:ns28="http://opendope.org/answers" xmlns:ns29="http://opendope.org/components" xmlns:ns3="http://schemas.openxmlformats.org/officeDocument/2006/relationships" xmlns:ns30="http://opendope.org/SmartArt/DataHierarchy" xmlns:ns31="http://schemas.openxmlformats.org/officeDocument/2006/bibliography" xmlns:ns32="http://schemas.microsoft.com/office/webextensions/taskpanes/2010/11" xmlns:ns33="http://schemas.microsoft.com/office/webextensions/webextension/2010/11" xmlns:ns4="http://schemas.microsoft.com/office/word/2010/wordml" xmlns:ns5="http://schemas.openxmlformats.org/drawingml/2006/wordprocessingDrawing" xmlns:ns6="http://schemas.openxmlformats.org/drawingml/2006/main" xmlns:ns7="http://schemas.microsoft.com/office/word/2010/wordprocessingDrawing" xmlns:ns8="http://schemas.microsoft.com/office/word/2012/wordml" xmlns:ns9="http://schemas.openxmlformats.org/markup-compatibility/2006" id="{62F939B6-93AF-4DB8-9C6B-D6C7DFDC589F}" name="Office Theme" vid="{4A3C46E8-61CC-4603-A589-7422A47A8E4A}"/>
    </a:ext>
  </a:extLst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>E FUND</properties:Company>
  <properties:Pages>1</properties:Pages>
  <properties:Words>105</properties:Words>
  <properties:Characters>605</properties:Characters>
  <properties:Lines>5</properties:Lines>
  <properties:Paragraphs>1</properties:Paragraphs>
  <properties:TotalTime>47</properties:TotalTime>
  <properties:ScaleCrop>false</properties:ScaleCrop>
  <properties:LinksUpToDate>false</properties:LinksUpToDate>
  <properties:CharactersWithSpaces>709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2020-10-27T10:05:00Z</dcterms:created>
  <dc:creator>白玥明</dc:creator>
  <dc:description/>
  <cp:keywords/>
  <cp:lastModifiedBy>许兆枫</cp:lastModifiedBy>
  <dcterms:modified xmlns:xsi="http://www.w3.org/2001/XMLSchema-instance" xsi:type="dcterms:W3CDTF">2021-04-19T09:05:00Z</dcterms:modified>
  <cp:revision>42</cp:revision>
  <dc:subject/>
  <dc:title/>
</cp:coreProperties>
</file>