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E2" w:rsidRPr="00B64A1E" w:rsidRDefault="00EA10E2" w:rsidP="00EA10E2">
      <w:pPr>
        <w:pStyle w:val="font14"/>
        <w:jc w:val="center"/>
        <w:rPr>
          <w:rFonts w:ascii="Times New Roman" w:hAnsi="Times New Roman" w:cs="Times New Roman"/>
          <w:sz w:val="36"/>
          <w:szCs w:val="36"/>
        </w:rPr>
      </w:pPr>
      <w:r w:rsidRPr="00B64A1E">
        <w:rPr>
          <w:rStyle w:val="a3"/>
          <w:rFonts w:ascii="Times New Roman" w:hAnsi="Times New Roman" w:cs="Times New Roman"/>
          <w:sz w:val="36"/>
          <w:szCs w:val="36"/>
        </w:rPr>
        <w:t>易方达基金管理有限公司关于旗下部分基金获配</w:t>
      </w:r>
      <w:r w:rsidR="00F20762" w:rsidRPr="00B64A1E">
        <w:rPr>
          <w:rStyle w:val="a3"/>
          <w:rFonts w:ascii="Times New Roman" w:hAnsi="Times New Roman" w:cs="Times New Roman"/>
          <w:sz w:val="36"/>
          <w:szCs w:val="36"/>
        </w:rPr>
        <w:t>古井贡酒</w:t>
      </w:r>
      <w:r w:rsidR="005B7759" w:rsidRPr="00B64A1E">
        <w:rPr>
          <w:rStyle w:val="a3"/>
          <w:rFonts w:ascii="Times New Roman" w:hAnsi="Times New Roman" w:cs="Times New Roman"/>
          <w:sz w:val="36"/>
          <w:szCs w:val="36"/>
        </w:rPr>
        <w:t>（</w:t>
      </w:r>
      <w:r w:rsidR="00F20762" w:rsidRPr="00B64A1E">
        <w:rPr>
          <w:rStyle w:val="a3"/>
          <w:rFonts w:ascii="Times New Roman" w:hAnsi="Times New Roman" w:cs="Times New Roman"/>
          <w:sz w:val="36"/>
          <w:szCs w:val="36"/>
        </w:rPr>
        <w:t>000596</w:t>
      </w:r>
      <w:r w:rsidR="005B7759" w:rsidRPr="00B64A1E">
        <w:rPr>
          <w:rStyle w:val="a3"/>
          <w:rFonts w:ascii="Times New Roman" w:hAnsi="Times New Roman" w:cs="Times New Roman"/>
          <w:sz w:val="36"/>
          <w:szCs w:val="36"/>
        </w:rPr>
        <w:t>）</w:t>
      </w:r>
      <w:r w:rsidRPr="00B64A1E">
        <w:rPr>
          <w:rStyle w:val="a3"/>
          <w:rFonts w:ascii="Times New Roman" w:hAnsi="Times New Roman" w:cs="Times New Roman"/>
          <w:sz w:val="36"/>
          <w:szCs w:val="36"/>
        </w:rPr>
        <w:t>非公开发行</w:t>
      </w:r>
      <w:r w:rsidRPr="00B64A1E">
        <w:rPr>
          <w:rStyle w:val="a3"/>
          <w:rFonts w:ascii="Times New Roman" w:hAnsi="Times New Roman" w:cs="Times New Roman"/>
          <w:sz w:val="36"/>
          <w:szCs w:val="36"/>
        </w:rPr>
        <w:t>A</w:t>
      </w:r>
      <w:r w:rsidRPr="00B64A1E">
        <w:rPr>
          <w:rStyle w:val="a3"/>
          <w:rFonts w:ascii="Times New Roman" w:hAnsi="Times New Roman" w:cs="Times New Roman"/>
          <w:sz w:val="36"/>
          <w:szCs w:val="36"/>
        </w:rPr>
        <w:t>股的公告</w:t>
      </w:r>
    </w:p>
    <w:p w:rsidR="00740340" w:rsidRPr="00472218" w:rsidRDefault="00EA10E2" w:rsidP="00575028">
      <w:pPr>
        <w:widowControl/>
        <w:spacing w:line="360" w:lineRule="auto"/>
        <w:ind w:firstLineChars="200" w:firstLine="480"/>
        <w:rPr>
          <w:kern w:val="0"/>
          <w:sz w:val="24"/>
        </w:rPr>
      </w:pPr>
      <w:r w:rsidRPr="00472218">
        <w:rPr>
          <w:kern w:val="0"/>
          <w:sz w:val="24"/>
        </w:rPr>
        <w:t>易方达基金管理有限公司</w:t>
      </w:r>
      <w:r w:rsidRPr="00472218">
        <w:rPr>
          <w:kern w:val="0"/>
          <w:sz w:val="24"/>
        </w:rPr>
        <w:t>(</w:t>
      </w:r>
      <w:r w:rsidRPr="00472218">
        <w:rPr>
          <w:kern w:val="0"/>
          <w:sz w:val="24"/>
        </w:rPr>
        <w:t>以下简称</w:t>
      </w:r>
      <w:r w:rsidRPr="00472218">
        <w:rPr>
          <w:kern w:val="0"/>
          <w:sz w:val="24"/>
        </w:rPr>
        <w:t>“</w:t>
      </w:r>
      <w:r w:rsidRPr="00472218">
        <w:rPr>
          <w:kern w:val="0"/>
          <w:sz w:val="24"/>
        </w:rPr>
        <w:t>本公司</w:t>
      </w:r>
      <w:r w:rsidRPr="00472218">
        <w:rPr>
          <w:kern w:val="0"/>
          <w:sz w:val="24"/>
        </w:rPr>
        <w:t>”)</w:t>
      </w:r>
      <w:r w:rsidRPr="00472218">
        <w:rPr>
          <w:kern w:val="0"/>
          <w:sz w:val="24"/>
        </w:rPr>
        <w:t>所管理的</w:t>
      </w:r>
      <w:r w:rsidR="00575028" w:rsidRPr="00472218">
        <w:rPr>
          <w:kern w:val="0"/>
          <w:sz w:val="24"/>
        </w:rPr>
        <w:t>部分</w:t>
      </w:r>
      <w:r w:rsidR="00377AFD" w:rsidRPr="00472218">
        <w:rPr>
          <w:kern w:val="0"/>
          <w:sz w:val="24"/>
        </w:rPr>
        <w:t>基金</w:t>
      </w:r>
      <w:r w:rsidRPr="00472218">
        <w:rPr>
          <w:kern w:val="0"/>
          <w:sz w:val="24"/>
        </w:rPr>
        <w:t>参加了</w:t>
      </w:r>
      <w:r w:rsidR="00F20762" w:rsidRPr="00472218">
        <w:rPr>
          <w:kern w:val="0"/>
          <w:sz w:val="24"/>
        </w:rPr>
        <w:t>安徽古井贡酒股份有限公司</w:t>
      </w:r>
      <w:r w:rsidRPr="00472218">
        <w:rPr>
          <w:kern w:val="0"/>
          <w:sz w:val="24"/>
        </w:rPr>
        <w:t>非公开发行股票的认购。</w:t>
      </w:r>
    </w:p>
    <w:p w:rsidR="001104F8" w:rsidRPr="00472218" w:rsidRDefault="00943EEF" w:rsidP="00387016">
      <w:pPr>
        <w:widowControl/>
        <w:spacing w:after="240"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根据中国证监会《公开募集证券投资基金信息披露管理办法》</w:t>
      </w:r>
      <w:r w:rsidR="00EA10E2" w:rsidRPr="00472218">
        <w:rPr>
          <w:kern w:val="0"/>
          <w:sz w:val="24"/>
        </w:rPr>
        <w:t>《关于基金投资非公开发行股票等流通受限证券有关问题的通知》等有关规定</w:t>
      </w:r>
      <w:r w:rsidR="00EA10E2" w:rsidRPr="00472218">
        <w:rPr>
          <w:kern w:val="0"/>
          <w:sz w:val="24"/>
        </w:rPr>
        <w:t>,</w:t>
      </w:r>
      <w:r w:rsidR="00EA10E2" w:rsidRPr="00472218">
        <w:rPr>
          <w:kern w:val="0"/>
          <w:sz w:val="24"/>
        </w:rPr>
        <w:t>本公司现将</w:t>
      </w:r>
      <w:r w:rsidR="00E80951" w:rsidRPr="00E80951">
        <w:rPr>
          <w:rFonts w:hint="eastAsia"/>
          <w:kern w:val="0"/>
          <w:sz w:val="24"/>
        </w:rPr>
        <w:t>旗下</w:t>
      </w:r>
      <w:r w:rsidR="00FC7DF3" w:rsidRPr="00472218">
        <w:rPr>
          <w:kern w:val="0"/>
          <w:sz w:val="24"/>
        </w:rPr>
        <w:t>基金</w:t>
      </w:r>
      <w:r w:rsidR="00EA10E2" w:rsidRPr="00472218">
        <w:rPr>
          <w:kern w:val="0"/>
          <w:sz w:val="24"/>
        </w:rPr>
        <w:t>获配</w:t>
      </w:r>
      <w:r w:rsidR="00F20762" w:rsidRPr="00472218">
        <w:rPr>
          <w:kern w:val="0"/>
          <w:sz w:val="24"/>
        </w:rPr>
        <w:t>安徽古井贡酒股份有限公司</w:t>
      </w:r>
      <w:r w:rsidR="00EA10E2" w:rsidRPr="00472218">
        <w:rPr>
          <w:kern w:val="0"/>
          <w:sz w:val="24"/>
        </w:rPr>
        <w:t>非公开发行股票情况披露如下：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1080"/>
        <w:gridCol w:w="1537"/>
        <w:gridCol w:w="789"/>
        <w:gridCol w:w="1529"/>
        <w:gridCol w:w="807"/>
        <w:gridCol w:w="566"/>
      </w:tblGrid>
      <w:tr w:rsidR="00387016" w:rsidRPr="00472218" w:rsidTr="006E4980">
        <w:trPr>
          <w:jc w:val="center"/>
        </w:trPr>
        <w:tc>
          <w:tcPr>
            <w:tcW w:w="2048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119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551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838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529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886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551" w:type="dxa"/>
            <w:vAlign w:val="center"/>
          </w:tcPr>
          <w:p w:rsidR="00387016" w:rsidRPr="0054726D" w:rsidRDefault="00387016" w:rsidP="00387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4726D">
              <w:rPr>
                <w:color w:val="000000"/>
                <w:kern w:val="0"/>
                <w:szCs w:val="21"/>
              </w:rPr>
              <w:t>锁定期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易方达裕丰回报债券型证券投资基金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1,900,000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380,000,000.00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0.82%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423,662,000.00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0.92%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易方达丰华债券型证券投资基金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44,000,000.00</w:t>
            </w:r>
          </w:p>
        </w:tc>
        <w:tc>
          <w:tcPr>
            <w:tcW w:w="0" w:type="auto"/>
            <w:vAlign w:val="center"/>
          </w:tcPr>
          <w:p w:rsidR="00E73EB6" w:rsidRDefault="006E4980">
            <w:pPr>
              <w:jc w:val="center"/>
            </w:pPr>
            <w:r>
              <w:rPr>
                <w:szCs w:val="21"/>
              </w:rPr>
              <w:t>0.75</w:t>
            </w:r>
            <w:r w:rsidR="00244DF6">
              <w:rPr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49,055,600.00</w:t>
            </w:r>
          </w:p>
        </w:tc>
        <w:tc>
          <w:tcPr>
            <w:tcW w:w="0" w:type="auto"/>
            <w:vAlign w:val="center"/>
          </w:tcPr>
          <w:p w:rsidR="00E73EB6" w:rsidRDefault="006E4980">
            <w:pPr>
              <w:jc w:val="center"/>
            </w:pPr>
            <w:r>
              <w:rPr>
                <w:szCs w:val="21"/>
              </w:rPr>
              <w:t>0.83</w:t>
            </w:r>
            <w:r w:rsidR="00244DF6">
              <w:rPr>
                <w:szCs w:val="21"/>
              </w:rPr>
              <w:t>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  <w:bookmarkStart w:id="0" w:name="_GoBack"/>
        <w:bookmarkEnd w:id="0"/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易方达改革红利混合型证券投资基金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100,000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1.69%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22,298,000.00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1.88%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易方达新收益灵活配置混合型证券投资基金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1,010,000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202,000,000.00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1.68%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225,209,800.00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1.87%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易方达国企改革混合型证券投资基金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8,000,000.00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2.17%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8,919,200.00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2.42%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易方达安盈回报混合型证券投资基金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44,000,000.00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1.64%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49,055,600.00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1.83%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易方达瑞恒灵活配置混合型证券投资基金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300,000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2.25%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66,894,000.00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2.51%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</w:t>
            </w:r>
            <w:r>
              <w:rPr>
                <w:szCs w:val="21"/>
              </w:rPr>
              <w:t>ESG</w:t>
            </w:r>
            <w:r>
              <w:rPr>
                <w:szCs w:val="21"/>
              </w:rPr>
              <w:t>责任投资股票型发起式证券投资基金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90,000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18,000,000.00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3.74%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20,068,200.00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4.17%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易方达磐恒九个月持有期混合型证券投资基金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255,000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51,000,000.00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56,859,900.00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易方达招易一年持有期混合型证券投资基金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12,000,000.00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0.60%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13,378,800.00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0.67%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lastRenderedPageBreak/>
              <w:t>易方达悦通一年持有期混合型证券投资基金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70,000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14,000,000.00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15,608,600.00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1.09%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易方达悦兴一年持有期混合型证券投资基金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1,080,000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216,000,000.00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240,818,400.00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1.08%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易方达磐固六个月持有期混合型证券投资基金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305,000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61,000,000.00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1.05%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68,008,900.00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1.18%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易方达悦享一年持有期混合型证券投资基金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240,000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48,000,000.00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0.49%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53,515,200.00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0.54%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易方达核心优势股票型证券投资基金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900,000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180,000,000.00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2.08%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200,682,000.00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2.31%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易方达高质量严选三年持有期混合型证券投资基金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250,000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50,000,000.00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0.33%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55,745,000.00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0.37%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易方达沪深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指数精选增强型证券投资基金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150,000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1.09%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33,447,000.00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1.22%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易方达悦安一年持有期债券型证券投资基金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705,000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141,000,000.00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157,200,900.00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1.10%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易方达悦盈一年持有期混合型证券投资基金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41,000,000.00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45,710,900.00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易方达宁易一年持有期混合型证券投资基金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13,000,000.00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1.01%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14,493,700.00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1.13%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易方达悦弘一年持有期混合型证券投资基金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410,000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82,000,000.00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91,421,800.00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1.10%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易方达悦信一年持有期混合型证券投资基金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385,000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77,000,000.00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85,847,300.00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易方达悦夏一年持有期混合型证券投资基金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645,000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129,000,000.00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143,822,100.00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1.11%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易方达上证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指数增强型证券投资基金</w:t>
            </w:r>
          </w:p>
        </w:tc>
        <w:tc>
          <w:tcPr>
            <w:tcW w:w="0" w:type="auto"/>
            <w:vAlign w:val="center"/>
          </w:tcPr>
          <w:p w:rsidR="00E73EB6" w:rsidRDefault="006E4980" w:rsidP="006E4980">
            <w:pPr>
              <w:jc w:val="center"/>
            </w:pPr>
            <w:r>
              <w:rPr>
                <w:szCs w:val="21"/>
              </w:rPr>
              <w:t>65</w:t>
            </w:r>
            <w:r w:rsidR="00244DF6">
              <w:rPr>
                <w:szCs w:val="21"/>
              </w:rPr>
              <w:t>0,000</w:t>
            </w:r>
          </w:p>
        </w:tc>
        <w:tc>
          <w:tcPr>
            <w:tcW w:w="0" w:type="auto"/>
            <w:vAlign w:val="center"/>
          </w:tcPr>
          <w:p w:rsidR="00E73EB6" w:rsidRDefault="006E4980">
            <w:pPr>
              <w:jc w:val="center"/>
            </w:pPr>
            <w:r>
              <w:rPr>
                <w:szCs w:val="21"/>
              </w:rPr>
              <w:t>13</w:t>
            </w:r>
            <w:r w:rsidR="00244DF6">
              <w:rPr>
                <w:szCs w:val="21"/>
              </w:rPr>
              <w:t>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0.53%</w:t>
            </w:r>
          </w:p>
        </w:tc>
        <w:tc>
          <w:tcPr>
            <w:tcW w:w="0" w:type="auto"/>
            <w:vAlign w:val="center"/>
          </w:tcPr>
          <w:p w:rsidR="00E73EB6" w:rsidRDefault="006E4980">
            <w:pPr>
              <w:jc w:val="center"/>
            </w:pPr>
            <w:r>
              <w:rPr>
                <w:szCs w:val="21"/>
              </w:rPr>
              <w:t>144,937</w:t>
            </w:r>
            <w:r w:rsidR="00244DF6">
              <w:rPr>
                <w:szCs w:val="21"/>
              </w:rPr>
              <w:t>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0.59%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易方达消费行业股票型证券投资基金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1,000,000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200,000,000.00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0.65%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222,980,000.00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0.72%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  <w:tr w:rsidR="00E73EB6">
        <w:trPr>
          <w:jc w:val="center"/>
        </w:trPr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易方达安心回报债券型证券投资基金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1,130,000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226,000,000.00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0.86%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251,967,400.00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0.95%</w:t>
            </w:r>
          </w:p>
        </w:tc>
        <w:tc>
          <w:tcPr>
            <w:tcW w:w="0" w:type="auto"/>
            <w:vAlign w:val="center"/>
          </w:tcPr>
          <w:p w:rsidR="00E73EB6" w:rsidRDefault="00244DF6">
            <w:pPr>
              <w:jc w:val="center"/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个月</w:t>
            </w:r>
          </w:p>
        </w:tc>
      </w:tr>
    </w:tbl>
    <w:p w:rsidR="00387016" w:rsidRPr="00472218" w:rsidRDefault="00387016" w:rsidP="006905CB">
      <w:pPr>
        <w:spacing w:line="360" w:lineRule="auto"/>
        <w:rPr>
          <w:kern w:val="0"/>
          <w:sz w:val="24"/>
        </w:rPr>
      </w:pPr>
    </w:p>
    <w:p w:rsidR="006905CB" w:rsidRPr="00472218" w:rsidRDefault="00EA10E2" w:rsidP="006905CB">
      <w:pPr>
        <w:spacing w:line="360" w:lineRule="auto"/>
        <w:rPr>
          <w:kern w:val="0"/>
          <w:sz w:val="24"/>
        </w:rPr>
      </w:pPr>
      <w:r w:rsidRPr="00472218">
        <w:rPr>
          <w:kern w:val="0"/>
          <w:sz w:val="24"/>
        </w:rPr>
        <w:t>注：基金资产净值、账面价值为</w:t>
      </w:r>
      <w:r w:rsidR="00F20762" w:rsidRPr="00472218">
        <w:rPr>
          <w:kern w:val="0"/>
          <w:sz w:val="24"/>
        </w:rPr>
        <w:t>2021</w:t>
      </w:r>
      <w:r w:rsidR="00F20762" w:rsidRPr="00472218">
        <w:rPr>
          <w:kern w:val="0"/>
          <w:sz w:val="24"/>
        </w:rPr>
        <w:t>年</w:t>
      </w:r>
      <w:r w:rsidR="00F20762" w:rsidRPr="00472218">
        <w:rPr>
          <w:kern w:val="0"/>
          <w:sz w:val="24"/>
        </w:rPr>
        <w:t>7</w:t>
      </w:r>
      <w:r w:rsidR="00F20762" w:rsidRPr="00472218">
        <w:rPr>
          <w:kern w:val="0"/>
          <w:sz w:val="24"/>
        </w:rPr>
        <w:t>月</w:t>
      </w:r>
      <w:r w:rsidR="00F20762" w:rsidRPr="00472218">
        <w:rPr>
          <w:kern w:val="0"/>
          <w:sz w:val="24"/>
        </w:rPr>
        <w:t>21</w:t>
      </w:r>
      <w:r w:rsidR="00F20762" w:rsidRPr="00472218">
        <w:rPr>
          <w:kern w:val="0"/>
          <w:sz w:val="24"/>
        </w:rPr>
        <w:t>日</w:t>
      </w:r>
      <w:r w:rsidRPr="00472218">
        <w:rPr>
          <w:kern w:val="0"/>
          <w:sz w:val="24"/>
        </w:rPr>
        <w:t>数据。</w:t>
      </w:r>
    </w:p>
    <w:p w:rsidR="006905CB" w:rsidRPr="00472218" w:rsidRDefault="00EA10E2" w:rsidP="00E94FC4">
      <w:pPr>
        <w:spacing w:line="360" w:lineRule="auto"/>
        <w:ind w:firstLineChars="200" w:firstLine="480"/>
        <w:rPr>
          <w:kern w:val="0"/>
          <w:sz w:val="24"/>
        </w:rPr>
      </w:pPr>
      <w:r w:rsidRPr="00472218">
        <w:rPr>
          <w:kern w:val="0"/>
          <w:sz w:val="24"/>
        </w:rPr>
        <w:t>特此公告</w:t>
      </w:r>
      <w:r w:rsidR="003F4B29" w:rsidRPr="00472218">
        <w:rPr>
          <w:kern w:val="0"/>
          <w:sz w:val="24"/>
        </w:rPr>
        <w:t>。</w:t>
      </w:r>
    </w:p>
    <w:p w:rsidR="006905CB" w:rsidRPr="00472218" w:rsidRDefault="00EA10E2" w:rsidP="006905CB">
      <w:pPr>
        <w:spacing w:line="360" w:lineRule="auto"/>
        <w:jc w:val="right"/>
        <w:rPr>
          <w:kern w:val="0"/>
          <w:sz w:val="24"/>
        </w:rPr>
      </w:pPr>
      <w:r w:rsidRPr="00472218">
        <w:rPr>
          <w:kern w:val="0"/>
          <w:sz w:val="24"/>
        </w:rPr>
        <w:t>易方达基金管理有限公司</w:t>
      </w:r>
    </w:p>
    <w:p w:rsidR="008068CA" w:rsidRPr="00472218" w:rsidRDefault="00F20762" w:rsidP="006905CB">
      <w:pPr>
        <w:spacing w:line="360" w:lineRule="auto"/>
        <w:jc w:val="right"/>
        <w:rPr>
          <w:kern w:val="0"/>
          <w:sz w:val="24"/>
        </w:rPr>
      </w:pPr>
      <w:r w:rsidRPr="00472218">
        <w:rPr>
          <w:kern w:val="0"/>
          <w:sz w:val="24"/>
        </w:rPr>
        <w:t>2021</w:t>
      </w:r>
      <w:r w:rsidRPr="00472218">
        <w:rPr>
          <w:kern w:val="0"/>
          <w:sz w:val="24"/>
        </w:rPr>
        <w:t>年</w:t>
      </w:r>
      <w:r w:rsidRPr="00472218">
        <w:rPr>
          <w:kern w:val="0"/>
          <w:sz w:val="24"/>
        </w:rPr>
        <w:t>7</w:t>
      </w:r>
      <w:r w:rsidRPr="00472218">
        <w:rPr>
          <w:kern w:val="0"/>
          <w:sz w:val="24"/>
        </w:rPr>
        <w:t>月</w:t>
      </w:r>
      <w:r w:rsidRPr="00472218">
        <w:rPr>
          <w:kern w:val="0"/>
          <w:sz w:val="24"/>
        </w:rPr>
        <w:t>23</w:t>
      </w:r>
      <w:r w:rsidRPr="00472218">
        <w:rPr>
          <w:kern w:val="0"/>
          <w:sz w:val="24"/>
        </w:rPr>
        <w:t>日</w:t>
      </w:r>
    </w:p>
    <w:p w:rsidR="008068CA" w:rsidRDefault="008068CA" w:rsidP="006905CB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8068CA" w:rsidRDefault="008068CA" w:rsidP="006905CB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:rsidR="008068CA" w:rsidRPr="00EA10E2" w:rsidRDefault="008068CA" w:rsidP="00740340">
      <w:pPr>
        <w:spacing w:line="360" w:lineRule="auto"/>
        <w:jc w:val="right"/>
      </w:pPr>
    </w:p>
    <w:sectPr w:rsidR="008068CA" w:rsidRPr="00EA10E2" w:rsidSect="006E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F6" w:rsidRDefault="00244DF6" w:rsidP="004A6FD4">
      <w:r>
        <w:separator/>
      </w:r>
    </w:p>
  </w:endnote>
  <w:endnote w:type="continuationSeparator" w:id="0">
    <w:p w:rsidR="00244DF6" w:rsidRDefault="00244DF6" w:rsidP="004A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F6" w:rsidRDefault="00244DF6" w:rsidP="004A6FD4">
      <w:r>
        <w:separator/>
      </w:r>
    </w:p>
  </w:footnote>
  <w:footnote w:type="continuationSeparator" w:id="0">
    <w:p w:rsidR="00244DF6" w:rsidRDefault="00244DF6" w:rsidP="004A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E2"/>
    <w:rsid w:val="000068AC"/>
    <w:rsid w:val="000134E0"/>
    <w:rsid w:val="00056A9D"/>
    <w:rsid w:val="00067C88"/>
    <w:rsid w:val="0007578E"/>
    <w:rsid w:val="00084730"/>
    <w:rsid w:val="00091454"/>
    <w:rsid w:val="00091C26"/>
    <w:rsid w:val="000D409F"/>
    <w:rsid w:val="000F4885"/>
    <w:rsid w:val="001104F8"/>
    <w:rsid w:val="00182DBA"/>
    <w:rsid w:val="00185879"/>
    <w:rsid w:val="00196752"/>
    <w:rsid w:val="001B1DBB"/>
    <w:rsid w:val="001C374B"/>
    <w:rsid w:val="001C412F"/>
    <w:rsid w:val="001E1CD2"/>
    <w:rsid w:val="00225369"/>
    <w:rsid w:val="00244DF6"/>
    <w:rsid w:val="00277148"/>
    <w:rsid w:val="00294F51"/>
    <w:rsid w:val="00296B13"/>
    <w:rsid w:val="00301B9A"/>
    <w:rsid w:val="00303C8C"/>
    <w:rsid w:val="0033061C"/>
    <w:rsid w:val="00340B3A"/>
    <w:rsid w:val="003535FC"/>
    <w:rsid w:val="00377AFD"/>
    <w:rsid w:val="00387016"/>
    <w:rsid w:val="003B10DF"/>
    <w:rsid w:val="003B1232"/>
    <w:rsid w:val="003C1E98"/>
    <w:rsid w:val="003E178A"/>
    <w:rsid w:val="003F4B29"/>
    <w:rsid w:val="00426619"/>
    <w:rsid w:val="00437EFE"/>
    <w:rsid w:val="004536F8"/>
    <w:rsid w:val="00457BBE"/>
    <w:rsid w:val="0046432B"/>
    <w:rsid w:val="00465A81"/>
    <w:rsid w:val="00472218"/>
    <w:rsid w:val="0047707C"/>
    <w:rsid w:val="004864EF"/>
    <w:rsid w:val="00491539"/>
    <w:rsid w:val="004A37D9"/>
    <w:rsid w:val="004A6FD4"/>
    <w:rsid w:val="004A748B"/>
    <w:rsid w:val="004E00DA"/>
    <w:rsid w:val="005104D0"/>
    <w:rsid w:val="00514C2A"/>
    <w:rsid w:val="005173AF"/>
    <w:rsid w:val="0054079D"/>
    <w:rsid w:val="005410D0"/>
    <w:rsid w:val="00545916"/>
    <w:rsid w:val="0054726D"/>
    <w:rsid w:val="00557020"/>
    <w:rsid w:val="0056424C"/>
    <w:rsid w:val="00565313"/>
    <w:rsid w:val="00575028"/>
    <w:rsid w:val="00594EC0"/>
    <w:rsid w:val="00597646"/>
    <w:rsid w:val="005B7759"/>
    <w:rsid w:val="005D6EFF"/>
    <w:rsid w:val="005F5B86"/>
    <w:rsid w:val="006162D1"/>
    <w:rsid w:val="0066427C"/>
    <w:rsid w:val="0067264D"/>
    <w:rsid w:val="006742D8"/>
    <w:rsid w:val="006904DC"/>
    <w:rsid w:val="006905CB"/>
    <w:rsid w:val="00694AB9"/>
    <w:rsid w:val="006A6F40"/>
    <w:rsid w:val="006B20BE"/>
    <w:rsid w:val="006B73C3"/>
    <w:rsid w:val="006E31C5"/>
    <w:rsid w:val="006E3C8F"/>
    <w:rsid w:val="006E4980"/>
    <w:rsid w:val="00701BA4"/>
    <w:rsid w:val="00713551"/>
    <w:rsid w:val="00740340"/>
    <w:rsid w:val="00767737"/>
    <w:rsid w:val="007A0408"/>
    <w:rsid w:val="007C2F1F"/>
    <w:rsid w:val="008068CA"/>
    <w:rsid w:val="00824F39"/>
    <w:rsid w:val="008700B0"/>
    <w:rsid w:val="00875A99"/>
    <w:rsid w:val="00881EB9"/>
    <w:rsid w:val="0088426E"/>
    <w:rsid w:val="008905B4"/>
    <w:rsid w:val="008E3175"/>
    <w:rsid w:val="00943EEF"/>
    <w:rsid w:val="00945A25"/>
    <w:rsid w:val="00953744"/>
    <w:rsid w:val="009744BE"/>
    <w:rsid w:val="00990035"/>
    <w:rsid w:val="009A0A35"/>
    <w:rsid w:val="009A4875"/>
    <w:rsid w:val="009B4906"/>
    <w:rsid w:val="009C0D0E"/>
    <w:rsid w:val="009F70AA"/>
    <w:rsid w:val="009F7B3D"/>
    <w:rsid w:val="00A023DA"/>
    <w:rsid w:val="00A76FCB"/>
    <w:rsid w:val="00A9101C"/>
    <w:rsid w:val="00AD2F78"/>
    <w:rsid w:val="00AE5C3D"/>
    <w:rsid w:val="00B06905"/>
    <w:rsid w:val="00B27AC1"/>
    <w:rsid w:val="00B37206"/>
    <w:rsid w:val="00B57F57"/>
    <w:rsid w:val="00B64A1E"/>
    <w:rsid w:val="00B67FB7"/>
    <w:rsid w:val="00BA15AC"/>
    <w:rsid w:val="00BA3220"/>
    <w:rsid w:val="00BA3E0A"/>
    <w:rsid w:val="00BB54B0"/>
    <w:rsid w:val="00BC5A9F"/>
    <w:rsid w:val="00BC5B73"/>
    <w:rsid w:val="00BD22BB"/>
    <w:rsid w:val="00BD58A6"/>
    <w:rsid w:val="00BD7CE6"/>
    <w:rsid w:val="00BE0613"/>
    <w:rsid w:val="00BE6C39"/>
    <w:rsid w:val="00BE7D30"/>
    <w:rsid w:val="00BF7639"/>
    <w:rsid w:val="00C010A4"/>
    <w:rsid w:val="00C16B5A"/>
    <w:rsid w:val="00C16E41"/>
    <w:rsid w:val="00C16E87"/>
    <w:rsid w:val="00C342E5"/>
    <w:rsid w:val="00C51485"/>
    <w:rsid w:val="00C53F2C"/>
    <w:rsid w:val="00C73256"/>
    <w:rsid w:val="00C74CAB"/>
    <w:rsid w:val="00C76D21"/>
    <w:rsid w:val="00CA7C64"/>
    <w:rsid w:val="00D66832"/>
    <w:rsid w:val="00D753C1"/>
    <w:rsid w:val="00D82CEE"/>
    <w:rsid w:val="00D86EEB"/>
    <w:rsid w:val="00D87EB7"/>
    <w:rsid w:val="00D9314C"/>
    <w:rsid w:val="00DA0710"/>
    <w:rsid w:val="00DB4A42"/>
    <w:rsid w:val="00DD04AC"/>
    <w:rsid w:val="00DE18A7"/>
    <w:rsid w:val="00E04841"/>
    <w:rsid w:val="00E0716B"/>
    <w:rsid w:val="00E11A5D"/>
    <w:rsid w:val="00E2716D"/>
    <w:rsid w:val="00E37F29"/>
    <w:rsid w:val="00E41585"/>
    <w:rsid w:val="00E46D9A"/>
    <w:rsid w:val="00E62CE3"/>
    <w:rsid w:val="00E72B6A"/>
    <w:rsid w:val="00E73EB6"/>
    <w:rsid w:val="00E80951"/>
    <w:rsid w:val="00E94FC4"/>
    <w:rsid w:val="00EA10E2"/>
    <w:rsid w:val="00EB2D11"/>
    <w:rsid w:val="00EB5883"/>
    <w:rsid w:val="00EC223E"/>
    <w:rsid w:val="00EE4CF2"/>
    <w:rsid w:val="00EF34D7"/>
    <w:rsid w:val="00F11F77"/>
    <w:rsid w:val="00F20762"/>
    <w:rsid w:val="00F22B55"/>
    <w:rsid w:val="00F54A05"/>
    <w:rsid w:val="00F72C67"/>
    <w:rsid w:val="00FA2042"/>
    <w:rsid w:val="00FC2449"/>
    <w:rsid w:val="00FC7DF3"/>
    <w:rsid w:val="00FF2B45"/>
    <w:rsid w:val="00FF37E9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68D179-4839-46CF-9EDD-D7D8D778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4">
    <w:name w:val="font14"/>
    <w:basedOn w:val="a"/>
    <w:rsid w:val="00EA10E2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character" w:styleId="a3">
    <w:name w:val="Strong"/>
    <w:qFormat/>
    <w:rsid w:val="00EA10E2"/>
    <w:rPr>
      <w:b/>
      <w:bCs/>
    </w:rPr>
  </w:style>
  <w:style w:type="character" w:styleId="HTML">
    <w:name w:val="HTML Typewriter"/>
    <w:rsid w:val="00EA10E2"/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semiHidden/>
    <w:rsid w:val="00EA10E2"/>
    <w:rPr>
      <w:sz w:val="18"/>
      <w:szCs w:val="18"/>
    </w:rPr>
  </w:style>
  <w:style w:type="paragraph" w:styleId="a5">
    <w:name w:val="header"/>
    <w:basedOn w:val="a"/>
    <w:link w:val="Char"/>
    <w:rsid w:val="004A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A6FD4"/>
    <w:rPr>
      <w:kern w:val="2"/>
      <w:sz w:val="18"/>
      <w:szCs w:val="18"/>
    </w:rPr>
  </w:style>
  <w:style w:type="paragraph" w:styleId="a6">
    <w:name w:val="footer"/>
    <w:basedOn w:val="a"/>
    <w:link w:val="Char0"/>
    <w:rsid w:val="004A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A6FD4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8068CA"/>
    <w:pPr>
      <w:ind w:leftChars="2500" w:left="100"/>
    </w:pPr>
  </w:style>
  <w:style w:type="character" w:customStyle="1" w:styleId="Char1">
    <w:name w:val="日期 Char"/>
    <w:link w:val="a7"/>
    <w:rsid w:val="008068CA"/>
    <w:rPr>
      <w:kern w:val="2"/>
      <w:sz w:val="21"/>
      <w:szCs w:val="24"/>
    </w:rPr>
  </w:style>
  <w:style w:type="table" w:styleId="a8">
    <w:name w:val="Table Grid"/>
    <w:basedOn w:val="a1"/>
    <w:rsid w:val="0038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1159-AB64-4BB0-9698-30EE9E47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易方达基金管理有限公司关于旗下部分基金获配中泰化学（002092）非公开发行A股的公告</dc:title>
  <dc:creator>刘树荣</dc:creator>
  <cp:lastModifiedBy>李长洲</cp:lastModifiedBy>
  <cp:revision>17</cp:revision>
  <cp:lastPrinted>2010-08-23T02:49:00Z</cp:lastPrinted>
  <dcterms:created xsi:type="dcterms:W3CDTF">2018-09-26T06:41:00Z</dcterms:created>
  <dcterms:modified xsi:type="dcterms:W3CDTF">2021-07-22T02:15:00Z</dcterms:modified>
</cp:coreProperties>
</file>