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0F7509" w:rsidRDefault="00DC5686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中债7-10年期国开行债券指数</w:t>
      </w:r>
      <w:r w:rsidRPr="00C046E8">
        <w:rPr>
          <w:rFonts w:asciiTheme="minorEastAsia" w:eastAsiaTheme="minorEastAsia" w:hAnsiTheme="minorEastAsia" w:hint="eastAsia"/>
          <w:b/>
          <w:sz w:val="30"/>
          <w:szCs w:val="30"/>
        </w:rPr>
        <w:t>证券投资基金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RDefault="008472DB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223F28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8B1148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8B1148">
        <w:rPr>
          <w:rFonts w:asciiTheme="minorEastAsia" w:eastAsiaTheme="minorEastAsia" w:hAnsiTheme="minorEastAsia"/>
          <w:b/>
          <w:color w:val="000000"/>
          <w:sz w:val="24"/>
          <w:szCs w:val="24"/>
        </w:rPr>
        <w:t>21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0F7509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="00D327FA"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2146"/>
        <w:gridCol w:w="2390"/>
        <w:gridCol w:w="2328"/>
      </w:tblGrid>
      <w:tr w:rsidR="00DC5686" w:rsidRPr="00FA1E5C" w:rsidTr="00763886">
        <w:trPr>
          <w:jc w:val="center"/>
        </w:trPr>
        <w:tc>
          <w:tcPr>
            <w:tcW w:w="2244" w:type="dxa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C62DEE">
              <w:rPr>
                <w:rFonts w:eastAsia="宋体" w:hint="eastAsia"/>
                <w:sz w:val="24"/>
                <w:szCs w:val="24"/>
              </w:rPr>
              <w:t>易方达中债</w:t>
            </w:r>
            <w:r>
              <w:rPr>
                <w:rFonts w:eastAsia="宋体"/>
                <w:sz w:val="24"/>
                <w:szCs w:val="24"/>
              </w:rPr>
              <w:t>7-10</w:t>
            </w:r>
            <w:r w:rsidRPr="00C62DEE">
              <w:rPr>
                <w:rFonts w:eastAsia="宋体" w:hint="eastAsia"/>
                <w:sz w:val="24"/>
                <w:szCs w:val="24"/>
              </w:rPr>
              <w:t>年期国开行债券指数证券投资基金</w:t>
            </w:r>
          </w:p>
        </w:tc>
      </w:tr>
      <w:tr w:rsidR="00DC5686" w:rsidRPr="00FA1E5C" w:rsidTr="00B34509">
        <w:trPr>
          <w:jc w:val="center"/>
        </w:trPr>
        <w:tc>
          <w:tcPr>
            <w:tcW w:w="2244" w:type="dxa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DC5686" w:rsidRPr="00C62DEE" w:rsidRDefault="00DC5686" w:rsidP="00DC5686">
            <w:pPr>
              <w:rPr>
                <w:rFonts w:ascii="宋体" w:eastAsia="宋体" w:hAnsiTheme="minorHAns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易方达中债</w:t>
            </w:r>
            <w:r w:rsidRPr="00C62DEE">
              <w:rPr>
                <w:rFonts w:ascii="宋体" w:eastAsia="宋体" w:hAnsiTheme="minorHAnsi" w:cs="宋体"/>
                <w:kern w:val="0"/>
                <w:sz w:val="24"/>
                <w:szCs w:val="24"/>
              </w:rPr>
              <w:t>7-10</w:t>
            </w: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年期国开行债券指数</w:t>
            </w:r>
          </w:p>
        </w:tc>
      </w:tr>
      <w:tr w:rsidR="00DC5686" w:rsidRPr="00FA1E5C" w:rsidTr="0021790E">
        <w:trPr>
          <w:jc w:val="center"/>
        </w:trPr>
        <w:tc>
          <w:tcPr>
            <w:tcW w:w="2244" w:type="dxa"/>
            <w:vAlign w:val="center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003358</w:t>
            </w:r>
          </w:p>
        </w:tc>
      </w:tr>
      <w:tr w:rsidR="00DC5686" w:rsidRPr="00FA1E5C" w:rsidTr="007F38CD">
        <w:trPr>
          <w:jc w:val="center"/>
        </w:trPr>
        <w:tc>
          <w:tcPr>
            <w:tcW w:w="2244" w:type="dxa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DC5686" w:rsidRPr="00FA1E5C" w:rsidTr="00F63BCA">
        <w:trPr>
          <w:jc w:val="center"/>
        </w:trPr>
        <w:tc>
          <w:tcPr>
            <w:tcW w:w="2244" w:type="dxa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DC5686" w:rsidRPr="000F7509" w:rsidRDefault="00DC5686" w:rsidP="00DC5686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C62DEE">
              <w:rPr>
                <w:rFonts w:eastAsia="宋体" w:hint="eastAsia"/>
                <w:sz w:val="24"/>
                <w:szCs w:val="24"/>
              </w:rPr>
              <w:t>易方达中债</w:t>
            </w:r>
            <w:r>
              <w:rPr>
                <w:rFonts w:eastAsia="宋体"/>
                <w:sz w:val="24"/>
                <w:szCs w:val="24"/>
              </w:rPr>
              <w:t>7-10</w:t>
            </w:r>
            <w:r w:rsidRPr="00C62DEE">
              <w:rPr>
                <w:rFonts w:eastAsia="宋体" w:hint="eastAsia"/>
                <w:sz w:val="24"/>
                <w:szCs w:val="24"/>
              </w:rPr>
              <w:t>年期国开行债券指数证券投资基金</w:t>
            </w:r>
            <w:r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Pr="00C62DEE">
              <w:rPr>
                <w:rFonts w:eastAsia="宋体" w:hint="eastAsia"/>
                <w:sz w:val="24"/>
                <w:szCs w:val="24"/>
              </w:rPr>
              <w:t>易方达中债</w:t>
            </w:r>
            <w:r>
              <w:rPr>
                <w:rFonts w:eastAsia="宋体"/>
                <w:sz w:val="24"/>
                <w:szCs w:val="24"/>
              </w:rPr>
              <w:t>7-10</w:t>
            </w:r>
            <w:r w:rsidRPr="00C62DEE">
              <w:rPr>
                <w:rFonts w:eastAsia="宋体" w:hint="eastAsia"/>
                <w:sz w:val="24"/>
                <w:szCs w:val="24"/>
              </w:rPr>
              <w:t>年期国开行债券指数证券投资基金</w:t>
            </w:r>
            <w:r>
              <w:rPr>
                <w:rFonts w:eastAsia="宋体" w:hint="eastAsia"/>
                <w:sz w:val="24"/>
                <w:szCs w:val="24"/>
              </w:rPr>
              <w:t>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R="00CA14B0" w:rsidRPr="00FA1E5C" w:rsidTr="00E72BC5">
        <w:trPr>
          <w:jc w:val="center"/>
        </w:trPr>
        <w:tc>
          <w:tcPr>
            <w:tcW w:w="2244" w:type="dxa"/>
            <w:vMerge w:val="restart"/>
            <w:vAlign w:val="center"/>
          </w:tcPr>
          <w:p w:rsidR="00CA14B0" w:rsidRPr="000F7509" w:rsidRDefault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146" w:type="dxa"/>
          </w:tcPr>
          <w:p w:rsidR="00CA14B0" w:rsidRDefault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718" w:type="dxa"/>
            <w:gridSpan w:val="2"/>
            <w:vAlign w:val="center"/>
          </w:tcPr>
          <w:p w:rsidR="00CA14B0" w:rsidRPr="000F7509" w:rsidRDefault="00CA14B0" w:rsidP="00D7631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223F28">
              <w:rPr>
                <w:rFonts w:eastAsia="宋体" w:hint="eastAsia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8B1148">
              <w:rPr>
                <w:rFonts w:eastAsia="宋体" w:hint="eastAsia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8B1148">
              <w:rPr>
                <w:rFonts w:eastAsia="宋体" w:hint="eastAsia"/>
                <w:sz w:val="24"/>
                <w:szCs w:val="24"/>
              </w:rPr>
              <w:t>21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A14B0" w:rsidRPr="00FA1E5C" w:rsidTr="00E72BC5">
        <w:trPr>
          <w:jc w:val="center"/>
        </w:trPr>
        <w:tc>
          <w:tcPr>
            <w:tcW w:w="2244" w:type="dxa"/>
            <w:vMerge/>
          </w:tcPr>
          <w:p w:rsidR="00CA14B0" w:rsidRPr="000F7509" w:rsidRDefault="00CA14B0" w:rsidP="00CA14B0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46" w:type="dxa"/>
          </w:tcPr>
          <w:p w:rsidR="00CA14B0" w:rsidRDefault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718" w:type="dxa"/>
            <w:gridSpan w:val="2"/>
            <w:vAlign w:val="center"/>
          </w:tcPr>
          <w:p w:rsidR="00CA14B0" w:rsidRPr="000F7509" w:rsidRDefault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223F28">
              <w:rPr>
                <w:rFonts w:eastAsia="宋体" w:hint="eastAsia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8B1148">
              <w:rPr>
                <w:rFonts w:eastAsia="宋体" w:hint="eastAsia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8B1148">
              <w:rPr>
                <w:rFonts w:eastAsia="宋体" w:hint="eastAsia"/>
                <w:sz w:val="24"/>
                <w:szCs w:val="24"/>
              </w:rPr>
              <w:t>21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A14B0" w:rsidRPr="00FA1E5C" w:rsidTr="00E72BC5">
        <w:trPr>
          <w:jc w:val="center"/>
        </w:trPr>
        <w:tc>
          <w:tcPr>
            <w:tcW w:w="2244" w:type="dxa"/>
            <w:vMerge/>
          </w:tcPr>
          <w:p w:rsidR="00CA14B0" w:rsidRPr="000F7509" w:rsidRDefault="00CA14B0" w:rsidP="00CA14B0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46" w:type="dxa"/>
          </w:tcPr>
          <w:p w:rsidR="00CA14B0" w:rsidRDefault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718" w:type="dxa"/>
            <w:gridSpan w:val="2"/>
          </w:tcPr>
          <w:p w:rsidR="00CA14B0" w:rsidRDefault="00CA14B0" w:rsidP="00CA14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R="00E72BC5" w:rsidRPr="00FA1E5C" w:rsidTr="00E72BC5">
        <w:trPr>
          <w:jc w:val="center"/>
        </w:trPr>
        <w:tc>
          <w:tcPr>
            <w:tcW w:w="4390" w:type="dxa"/>
            <w:gridSpan w:val="2"/>
            <w:vAlign w:val="center"/>
          </w:tcPr>
          <w:p w:rsidR="00E72BC5" w:rsidRPr="000F7509" w:rsidRDefault="00E72BC5" w:rsidP="00E72BC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390" w:type="dxa"/>
            <w:vAlign w:val="center"/>
          </w:tcPr>
          <w:p w:rsidR="00E72BC5" w:rsidRPr="000F7509" w:rsidRDefault="00E72BC5" w:rsidP="00E72BC5">
            <w:pPr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易方达中债</w:t>
            </w:r>
            <w:r w:rsidRPr="00C62DEE">
              <w:rPr>
                <w:rFonts w:ascii="宋体" w:eastAsia="宋体" w:hAnsiTheme="minorHAnsi" w:cs="宋体"/>
                <w:kern w:val="0"/>
                <w:sz w:val="24"/>
                <w:szCs w:val="24"/>
              </w:rPr>
              <w:t>7-10</w:t>
            </w: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年期国开行债券指数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E72BC5" w:rsidRPr="000F7509" w:rsidRDefault="00E72BC5" w:rsidP="00E72BC5">
            <w:pPr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易方达中债</w:t>
            </w:r>
            <w:r w:rsidRPr="00C62DEE">
              <w:rPr>
                <w:rFonts w:ascii="宋体" w:eastAsia="宋体" w:hAnsiTheme="minorHAnsi" w:cs="宋体"/>
                <w:kern w:val="0"/>
                <w:sz w:val="24"/>
                <w:szCs w:val="24"/>
              </w:rPr>
              <w:t>7-10</w:t>
            </w:r>
            <w:r>
              <w:rPr>
                <w:rFonts w:ascii="宋体" w:eastAsia="宋体" w:hAnsiTheme="minorHAnsi" w:cs="宋体" w:hint="eastAsia"/>
                <w:kern w:val="0"/>
                <w:sz w:val="24"/>
                <w:szCs w:val="24"/>
              </w:rPr>
              <w:t>年期国开行债券指数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</w:tr>
      <w:tr w:rsidR="00E72BC5" w:rsidRPr="00FA1E5C" w:rsidTr="00E72BC5">
        <w:trPr>
          <w:jc w:val="center"/>
        </w:trPr>
        <w:tc>
          <w:tcPr>
            <w:tcW w:w="4390" w:type="dxa"/>
            <w:gridSpan w:val="2"/>
            <w:vAlign w:val="center"/>
          </w:tcPr>
          <w:p w:rsidR="00E72BC5" w:rsidRPr="000F7509" w:rsidRDefault="00E72BC5" w:rsidP="00E72BC5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390" w:type="dxa"/>
            <w:vAlign w:val="center"/>
          </w:tcPr>
          <w:p w:rsidR="00E72BC5" w:rsidRPr="000F7509" w:rsidRDefault="00E72BC5" w:rsidP="00E72BC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003358</w:t>
            </w:r>
          </w:p>
        </w:tc>
        <w:tc>
          <w:tcPr>
            <w:tcW w:w="2328" w:type="dxa"/>
            <w:vAlign w:val="center"/>
          </w:tcPr>
          <w:p w:rsidR="00E72BC5" w:rsidRPr="000F7509" w:rsidRDefault="00E72BC5" w:rsidP="00E72BC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009803</w:t>
            </w:r>
          </w:p>
        </w:tc>
      </w:tr>
      <w:tr w:rsidR="00BA6967" w:rsidRPr="00FA1E5C" w:rsidTr="00E72BC5">
        <w:trPr>
          <w:jc w:val="center"/>
        </w:trPr>
        <w:tc>
          <w:tcPr>
            <w:tcW w:w="4390" w:type="dxa"/>
            <w:gridSpan w:val="2"/>
          </w:tcPr>
          <w:p w:rsidR="00BA6967" w:rsidRPr="000F7509" w:rsidRDefault="00CA14B0" w:rsidP="00A5373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2390" w:type="dxa"/>
            <w:vAlign w:val="center"/>
          </w:tcPr>
          <w:p w:rsidR="00BA6967" w:rsidRPr="000F7509" w:rsidRDefault="00BA6967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328" w:type="dxa"/>
            <w:vAlign w:val="center"/>
          </w:tcPr>
          <w:p w:rsidR="00BA6967" w:rsidRPr="000F7509" w:rsidRDefault="00BA6967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CA14B0" w:rsidRDefault="0036784E" w:rsidP="00CA14B0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注：根</w:t>
      </w:r>
      <w:r w:rsidR="006F4A12">
        <w:rPr>
          <w:rFonts w:asciiTheme="minorEastAsia" w:eastAsiaTheme="minorEastAsia" w:hAnsiTheme="minorEastAsia"/>
          <w:color w:val="000000"/>
          <w:sz w:val="24"/>
          <w:szCs w:val="24"/>
        </w:rPr>
        <w:t>据法律法规和基金合同的相关规定，易方达基金管理有限公司</w:t>
      </w:r>
      <w:r w:rsidR="0076363D" w:rsidRPr="0076363D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（以下简称“本公司”）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决定自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>202</w:t>
      </w:r>
      <w:r w:rsidR="00223F2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8B1148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8B1148">
        <w:rPr>
          <w:rFonts w:asciiTheme="minorEastAsia" w:eastAsiaTheme="minorEastAsia" w:hAnsiTheme="minorEastAsia"/>
          <w:color w:val="000000"/>
          <w:sz w:val="24"/>
          <w:szCs w:val="24"/>
        </w:rPr>
        <w:t>21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日起</w:t>
      </w:r>
      <w:r w:rsidR="00CA14B0">
        <w:rPr>
          <w:rFonts w:asciiTheme="minorEastAsia" w:eastAsiaTheme="minorEastAsia" w:hAnsiTheme="minorEastAsia"/>
          <w:color w:val="000000"/>
          <w:sz w:val="24"/>
          <w:szCs w:val="24"/>
        </w:rPr>
        <w:t>，</w:t>
      </w:r>
      <w:r w:rsidR="00E72BC5" w:rsidRPr="00C62DEE">
        <w:rPr>
          <w:rFonts w:eastAsia="宋体" w:hint="eastAsia"/>
          <w:sz w:val="24"/>
          <w:szCs w:val="24"/>
        </w:rPr>
        <w:t>易方达中债</w:t>
      </w:r>
      <w:r w:rsidR="00E72BC5">
        <w:rPr>
          <w:rFonts w:eastAsia="宋体"/>
          <w:sz w:val="24"/>
          <w:szCs w:val="24"/>
        </w:rPr>
        <w:t>7-10</w:t>
      </w:r>
      <w:r w:rsidR="00E72BC5" w:rsidRPr="00C62DEE">
        <w:rPr>
          <w:rFonts w:eastAsia="宋体" w:hint="eastAsia"/>
          <w:sz w:val="24"/>
          <w:szCs w:val="24"/>
        </w:rPr>
        <w:t>年期国开行债券指数证券投资基金</w:t>
      </w:r>
      <w:r w:rsidR="00186B57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</w:t>
      </w:r>
      <w:r w:rsidR="00186B57" w:rsidRPr="00186B57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186B57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186B57" w:rsidRPr="00186B57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186B57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CA14B0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C93BC4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E14BF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</w:t>
      </w:r>
      <w:r w:rsidR="00CC4CE6" w:rsidRPr="00186B57">
        <w:rPr>
          <w:rFonts w:asciiTheme="minorEastAsia" w:eastAsiaTheme="minorEastAsia" w:hAnsiTheme="minorEastAsia" w:hint="eastAsia"/>
          <w:color w:val="000000"/>
          <w:sz w:val="24"/>
          <w:szCs w:val="24"/>
        </w:rPr>
        <w:t>含定期定额投资及转换转入</w:t>
      </w:r>
      <w:r w:rsidR="00CA14B0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CA14B0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本基金A类基金份额或C</w:t>
      </w:r>
      <w:r w:rsidR="00EF281E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类基金份额的金额不</w:t>
      </w:r>
      <w:bookmarkStart w:id="1" w:name="_GoBack"/>
      <w:bookmarkEnd w:id="1"/>
      <w:r w:rsidR="00CA14B0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超过250万元的限制，恢复办理</w:t>
      </w:r>
      <w:r w:rsidR="00CA14B0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 w:rsidR="00CA14B0"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="00CA14B0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CA14B0" w:rsidRPr="00D76316" w:rsidRDefault="00CA14B0" w:rsidP="000F75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0F7509" w:rsidRDefault="00D327FA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2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2"/>
    </w:p>
    <w:p w:rsidR="00385C33" w:rsidRDefault="00864C8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如有疑问，请拨打本公司客户服务热线400 881 8088，或登陆本公司网站www.efunds.com.cn获取相关信息。</w:t>
      </w:r>
    </w:p>
    <w:p w:rsidR="00385C33" w:rsidRDefault="00864C8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85C33" w:rsidRDefault="00864C8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364C2A" w:rsidRDefault="00770DB7" w:rsidP="00CA14B0">
      <w:pPr>
        <w:spacing w:line="360" w:lineRule="auto"/>
        <w:ind w:firstLineChars="200" w:firstLine="48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</w:t>
      </w:r>
      <w:r w:rsidR="00223F2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8B1148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8B1148">
        <w:rPr>
          <w:rFonts w:asciiTheme="minorEastAsia" w:eastAsiaTheme="minorEastAsia" w:hAnsiTheme="minorEastAsia"/>
          <w:color w:val="000000"/>
          <w:sz w:val="24"/>
          <w:szCs w:val="24"/>
        </w:rPr>
        <w:t>21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5F" w:rsidRDefault="00575E5F" w:rsidP="00D327FA">
      <w:r>
        <w:separator/>
      </w:r>
    </w:p>
  </w:endnote>
  <w:endnote w:type="continuationSeparator" w:id="0">
    <w:p w:rsidR="00575E5F" w:rsidRDefault="00575E5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5F" w:rsidRDefault="00575E5F" w:rsidP="00D327FA">
      <w:r>
        <w:separator/>
      </w:r>
    </w:p>
  </w:footnote>
  <w:footnote w:type="continuationSeparator" w:id="0">
    <w:p w:rsidR="00575E5F" w:rsidRDefault="00575E5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05FF"/>
    <w:rsid w:val="00020378"/>
    <w:rsid w:val="00041353"/>
    <w:rsid w:val="00086EFB"/>
    <w:rsid w:val="000912A5"/>
    <w:rsid w:val="000B00CF"/>
    <w:rsid w:val="000D6593"/>
    <w:rsid w:val="000E14BF"/>
    <w:rsid w:val="000E4CBF"/>
    <w:rsid w:val="000F7509"/>
    <w:rsid w:val="001169BB"/>
    <w:rsid w:val="00180DA3"/>
    <w:rsid w:val="00186B57"/>
    <w:rsid w:val="001B4F9F"/>
    <w:rsid w:val="001C6835"/>
    <w:rsid w:val="00211C07"/>
    <w:rsid w:val="00223F28"/>
    <w:rsid w:val="00245724"/>
    <w:rsid w:val="002935EF"/>
    <w:rsid w:val="00297148"/>
    <w:rsid w:val="002F7241"/>
    <w:rsid w:val="00327DA7"/>
    <w:rsid w:val="0033513C"/>
    <w:rsid w:val="0036784E"/>
    <w:rsid w:val="00385C33"/>
    <w:rsid w:val="003B5276"/>
    <w:rsid w:val="00494420"/>
    <w:rsid w:val="004966BA"/>
    <w:rsid w:val="004A1EE7"/>
    <w:rsid w:val="004D6346"/>
    <w:rsid w:val="004D7E55"/>
    <w:rsid w:val="004F0521"/>
    <w:rsid w:val="004F51E8"/>
    <w:rsid w:val="004F6E39"/>
    <w:rsid w:val="00564298"/>
    <w:rsid w:val="00575E5F"/>
    <w:rsid w:val="005B490D"/>
    <w:rsid w:val="005B7F1C"/>
    <w:rsid w:val="005D09DC"/>
    <w:rsid w:val="00646522"/>
    <w:rsid w:val="006F4A12"/>
    <w:rsid w:val="0076363D"/>
    <w:rsid w:val="00770DB7"/>
    <w:rsid w:val="007A340F"/>
    <w:rsid w:val="007B1D31"/>
    <w:rsid w:val="007D2965"/>
    <w:rsid w:val="00827D4A"/>
    <w:rsid w:val="0083445C"/>
    <w:rsid w:val="00841AFE"/>
    <w:rsid w:val="00844AD4"/>
    <w:rsid w:val="008472DB"/>
    <w:rsid w:val="00864C8C"/>
    <w:rsid w:val="008B1148"/>
    <w:rsid w:val="008D3261"/>
    <w:rsid w:val="008F225D"/>
    <w:rsid w:val="008F47E1"/>
    <w:rsid w:val="00934D7A"/>
    <w:rsid w:val="00955F07"/>
    <w:rsid w:val="00956B0F"/>
    <w:rsid w:val="009741B1"/>
    <w:rsid w:val="009C5858"/>
    <w:rsid w:val="00A00078"/>
    <w:rsid w:val="00A02884"/>
    <w:rsid w:val="00A516C4"/>
    <w:rsid w:val="00A53731"/>
    <w:rsid w:val="00AA7EDA"/>
    <w:rsid w:val="00B101F7"/>
    <w:rsid w:val="00B5053A"/>
    <w:rsid w:val="00B75516"/>
    <w:rsid w:val="00BA6967"/>
    <w:rsid w:val="00BD601B"/>
    <w:rsid w:val="00BD6D93"/>
    <w:rsid w:val="00C046E8"/>
    <w:rsid w:val="00C05CFA"/>
    <w:rsid w:val="00C93BC4"/>
    <w:rsid w:val="00CA14B0"/>
    <w:rsid w:val="00CB4D46"/>
    <w:rsid w:val="00CC4CE6"/>
    <w:rsid w:val="00CC5463"/>
    <w:rsid w:val="00CE4972"/>
    <w:rsid w:val="00D114B7"/>
    <w:rsid w:val="00D327FA"/>
    <w:rsid w:val="00D33E60"/>
    <w:rsid w:val="00D76316"/>
    <w:rsid w:val="00DA1037"/>
    <w:rsid w:val="00DC5686"/>
    <w:rsid w:val="00DD7C4B"/>
    <w:rsid w:val="00E72255"/>
    <w:rsid w:val="00E72BC5"/>
    <w:rsid w:val="00E93C8D"/>
    <w:rsid w:val="00EE1823"/>
    <w:rsid w:val="00EF281E"/>
    <w:rsid w:val="00F5252D"/>
    <w:rsid w:val="00F564B4"/>
    <w:rsid w:val="00F64447"/>
    <w:rsid w:val="00F95610"/>
    <w:rsid w:val="00FA1E5C"/>
    <w:rsid w:val="00FA3344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D033A-6455-4804-94E3-E24CCB8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谷立</cp:lastModifiedBy>
  <cp:revision>9</cp:revision>
  <cp:lastPrinted>2020-01-13T07:48:00Z</cp:lastPrinted>
  <dcterms:created xsi:type="dcterms:W3CDTF">2020-04-08T05:43:00Z</dcterms:created>
  <dcterms:modified xsi:type="dcterms:W3CDTF">2021-04-20T07:03:00Z</dcterms:modified>
</cp:coreProperties>
</file>